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DCB8" w14:textId="77777777" w:rsidR="00B2519D" w:rsidRPr="00990F95" w:rsidRDefault="008E3942" w:rsidP="00B433FB">
      <w:pPr>
        <w:spacing w:afterLines="100" w:after="24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b/>
          <w:color w:val="000000"/>
          <w:sz w:val="32"/>
          <w:szCs w:val="32"/>
        </w:rPr>
        <w:t>衛生福利部雲林教養院</w:t>
      </w:r>
    </w:p>
    <w:p w14:paraId="1C1D53F7" w14:textId="77777777" w:rsidR="00B433FB" w:rsidRPr="00990F95" w:rsidRDefault="00E57020" w:rsidP="00B433FB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  <w:r w:rsidRPr="00990F95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206F47" w:rsidRPr="00990F95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310407" w:rsidRPr="00990F95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8E3942" w:rsidRPr="00990F95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8E3942" w:rsidRPr="00990F95">
        <w:rPr>
          <w:rFonts w:ascii="標楷體" w:eastAsia="標楷體" w:hAnsi="標楷體" w:hint="eastAsia"/>
          <w:b/>
          <w:sz w:val="32"/>
          <w:szCs w:val="32"/>
        </w:rPr>
        <w:t>度設置</w:t>
      </w:r>
      <w:r w:rsidR="005B7477" w:rsidRPr="00990F95">
        <w:rPr>
          <w:rFonts w:ascii="標楷體" w:eastAsia="標楷體" w:hAnsi="標楷體" w:hint="eastAsia"/>
          <w:b/>
          <w:sz w:val="32"/>
          <w:szCs w:val="32"/>
        </w:rPr>
        <w:t>飲料</w:t>
      </w:r>
      <w:r w:rsidR="00B2519D" w:rsidRPr="00990F95">
        <w:rPr>
          <w:rFonts w:ascii="標楷體" w:eastAsia="標楷體" w:hAnsi="標楷體" w:hint="eastAsia"/>
          <w:b/>
          <w:sz w:val="32"/>
          <w:szCs w:val="32"/>
        </w:rPr>
        <w:t>及食品</w:t>
      </w:r>
      <w:r w:rsidR="008E3942" w:rsidRPr="00990F95">
        <w:rPr>
          <w:rFonts w:ascii="標楷體" w:eastAsia="標楷體" w:hAnsi="標楷體" w:hint="eastAsia"/>
          <w:b/>
          <w:sz w:val="32"/>
          <w:szCs w:val="32"/>
        </w:rPr>
        <w:t>自動販賣機標租案</w:t>
      </w:r>
      <w:r w:rsidR="009F3BD2" w:rsidRPr="00990F95">
        <w:rPr>
          <w:rFonts w:ascii="標楷體" w:eastAsia="標楷體" w:hAnsi="標楷體" w:hint="eastAsia"/>
          <w:b/>
          <w:sz w:val="32"/>
          <w:szCs w:val="32"/>
        </w:rPr>
        <w:t>契約</w:t>
      </w:r>
      <w:r w:rsidR="00B433FB" w:rsidRPr="00990F95">
        <w:rPr>
          <w:rFonts w:ascii="標楷體" w:eastAsia="標楷體" w:hAnsi="標楷體" w:hint="eastAsia"/>
          <w:b/>
          <w:sz w:val="32"/>
          <w:szCs w:val="32"/>
        </w:rPr>
        <w:t>書</w:t>
      </w:r>
    </w:p>
    <w:p w14:paraId="2C2AEB65" w14:textId="77777777" w:rsidR="00AC3F8C" w:rsidRPr="00990F95" w:rsidRDefault="00AC3F8C" w:rsidP="00CF2D52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衛生福利部雲林教養院（以下簡稱甲方</w:t>
      </w:r>
      <w:r w:rsidRPr="00990F95">
        <w:rPr>
          <w:rFonts w:ascii="標楷體" w:eastAsia="標楷體" w:hAnsi="標楷體"/>
          <w:color w:val="000000"/>
          <w:sz w:val="28"/>
        </w:rPr>
        <w:t>）</w:t>
      </w:r>
      <w:r w:rsidRPr="00990F95">
        <w:rPr>
          <w:rFonts w:ascii="標楷體" w:eastAsia="標楷體" w:hAnsi="標楷體" w:hint="eastAsia"/>
          <w:color w:val="000000"/>
          <w:sz w:val="28"/>
        </w:rPr>
        <w:t>委託</w:t>
      </w:r>
      <w:r w:rsidR="00DC6B27" w:rsidRPr="00990F95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E57020" w:rsidRPr="00990F95">
        <w:rPr>
          <w:rFonts w:ascii="標楷體" w:eastAsia="標楷體" w:hAnsi="標楷體" w:hint="eastAsia"/>
          <w:color w:val="000000"/>
          <w:sz w:val="28"/>
        </w:rPr>
        <w:t xml:space="preserve">                 </w:t>
      </w:r>
      <w:r w:rsidRPr="00990F95">
        <w:rPr>
          <w:rFonts w:ascii="標楷體" w:eastAsia="標楷體" w:hAnsi="標楷體" w:hint="eastAsia"/>
          <w:color w:val="000000"/>
          <w:sz w:val="28"/>
        </w:rPr>
        <w:t>（以下簡稱乙方）於</w:t>
      </w:r>
      <w:r w:rsidR="009F3BD2" w:rsidRPr="00990F95">
        <w:rPr>
          <w:rFonts w:ascii="標楷體" w:eastAsia="標楷體" w:hAnsi="標楷體" w:hint="eastAsia"/>
          <w:color w:val="000000"/>
          <w:sz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所訂之地點設置飲料</w:t>
      </w:r>
      <w:r w:rsidR="00B2519D" w:rsidRPr="00990F95">
        <w:rPr>
          <w:rFonts w:ascii="標楷體" w:eastAsia="標楷體" w:hAnsi="標楷體" w:hint="eastAsia"/>
          <w:color w:val="000000"/>
          <w:sz w:val="28"/>
        </w:rPr>
        <w:t>及食品</w:t>
      </w:r>
      <w:r w:rsidRPr="00990F95">
        <w:rPr>
          <w:rFonts w:ascii="標楷體" w:eastAsia="標楷體" w:hAnsi="標楷體" w:hint="eastAsia"/>
          <w:color w:val="000000"/>
          <w:sz w:val="28"/>
        </w:rPr>
        <w:t>自動販賣機，並經雙方同意訂立本</w:t>
      </w:r>
      <w:r w:rsidR="009F3BD2" w:rsidRPr="00990F95">
        <w:rPr>
          <w:rFonts w:ascii="標楷體" w:eastAsia="標楷體" w:hAnsi="標楷體" w:hint="eastAsia"/>
          <w:color w:val="000000"/>
          <w:sz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，共同遵守，其條款如下：</w:t>
      </w:r>
    </w:p>
    <w:p w14:paraId="0595522B" w14:textId="77777777" w:rsidR="00EB5206" w:rsidRPr="00990F95" w:rsidRDefault="007F20BA" w:rsidP="006C2FD3">
      <w:pPr>
        <w:pStyle w:val="a7"/>
        <w:spacing w:afterLines="50" w:after="120" w:line="36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  <w:szCs w:val="28"/>
        </w:rPr>
        <w:t>第</w:t>
      </w:r>
      <w:r w:rsidR="005E52CC" w:rsidRPr="00990F95">
        <w:rPr>
          <w:rFonts w:ascii="標楷體" w:eastAsia="標楷體" w:hAnsi="標楷體" w:hint="eastAsia"/>
          <w:sz w:val="28"/>
          <w:szCs w:val="28"/>
        </w:rPr>
        <w:t>一</w:t>
      </w:r>
      <w:r w:rsidRPr="00990F95">
        <w:rPr>
          <w:rFonts w:ascii="標楷體" w:eastAsia="標楷體" w:hAnsi="標楷體" w:hint="eastAsia"/>
          <w:sz w:val="28"/>
          <w:szCs w:val="28"/>
        </w:rPr>
        <w:t>條</w:t>
      </w:r>
      <w:r w:rsidR="006C2FD3" w:rsidRPr="00990F95">
        <w:rPr>
          <w:rFonts w:ascii="標楷體" w:eastAsia="標楷體" w:hAnsi="標楷體" w:hint="eastAsia"/>
          <w:sz w:val="28"/>
          <w:szCs w:val="28"/>
        </w:rPr>
        <w:t xml:space="preserve">  </w:t>
      </w:r>
      <w:r w:rsidR="00EB5206" w:rsidRPr="00990F95">
        <w:rPr>
          <w:rFonts w:ascii="標楷體" w:eastAsia="標楷體" w:hAnsi="標楷體" w:hint="eastAsia"/>
          <w:sz w:val="28"/>
          <w:szCs w:val="28"/>
        </w:rPr>
        <w:t>本</w:t>
      </w:r>
      <w:r w:rsidR="00EB5206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EB5206" w:rsidRPr="00990F95">
        <w:rPr>
          <w:rFonts w:ascii="標楷體" w:eastAsia="標楷體" w:hAnsi="標楷體" w:hint="eastAsia"/>
          <w:sz w:val="28"/>
        </w:rPr>
        <w:t>依據國有財產法第28條但書及國有公用不動產收益原則辦理。</w:t>
      </w:r>
    </w:p>
    <w:p w14:paraId="4C7DF23E" w14:textId="77777777" w:rsidR="000645E8" w:rsidRPr="00990F95" w:rsidRDefault="00EB5206" w:rsidP="006C2FD3">
      <w:pPr>
        <w:pStyle w:val="a7"/>
        <w:spacing w:afterLines="50" w:after="120" w:line="36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  <w:szCs w:val="28"/>
        </w:rPr>
        <w:t xml:space="preserve">第二條  </w:t>
      </w:r>
      <w:r w:rsidR="000645E8" w:rsidRPr="00990F95">
        <w:rPr>
          <w:rFonts w:ascii="標楷體" w:eastAsia="標楷體" w:hAnsi="標楷體" w:hint="eastAsia"/>
          <w:sz w:val="28"/>
          <w:szCs w:val="28"/>
        </w:rPr>
        <w:t>甲方同意下記所表示之場所，</w:t>
      </w:r>
      <w:r w:rsidR="007A0CA6" w:rsidRPr="00990F95">
        <w:rPr>
          <w:rFonts w:ascii="標楷體" w:eastAsia="標楷體" w:hAnsi="標楷體" w:hint="eastAsia"/>
          <w:sz w:val="28"/>
          <w:szCs w:val="28"/>
        </w:rPr>
        <w:t>提供乙方所有之</w:t>
      </w:r>
      <w:r w:rsidR="00B8733B" w:rsidRPr="00990F95">
        <w:rPr>
          <w:rFonts w:ascii="標楷體" w:eastAsia="標楷體" w:hAnsi="標楷體" w:hint="eastAsia"/>
          <w:sz w:val="28"/>
          <w:szCs w:val="28"/>
        </w:rPr>
        <w:t>飲料</w:t>
      </w:r>
      <w:r w:rsidR="00B2519D" w:rsidRPr="00990F95">
        <w:rPr>
          <w:rFonts w:ascii="標楷體" w:eastAsia="標楷體" w:hAnsi="標楷體" w:hint="eastAsia"/>
          <w:sz w:val="28"/>
          <w:szCs w:val="28"/>
        </w:rPr>
        <w:t>及食品</w:t>
      </w:r>
      <w:r w:rsidR="007A0CA6" w:rsidRPr="00990F95">
        <w:rPr>
          <w:rFonts w:ascii="標楷體" w:eastAsia="標楷體" w:hAnsi="標楷體" w:hint="eastAsia"/>
          <w:sz w:val="28"/>
          <w:szCs w:val="28"/>
        </w:rPr>
        <w:t>自動販賣機作商品之販售。</w:t>
      </w:r>
    </w:p>
    <w:p w14:paraId="16C31E53" w14:textId="77777777" w:rsidR="00AC3F8C" w:rsidRPr="00990F95" w:rsidRDefault="00AC3F8C" w:rsidP="00AC3F8C">
      <w:pPr>
        <w:pStyle w:val="a7"/>
        <w:spacing w:afterLines="50" w:after="120" w:line="360" w:lineRule="exact"/>
        <w:ind w:leftChars="472" w:left="1976" w:hangingChars="301" w:hanging="843"/>
        <w:jc w:val="both"/>
        <w:rPr>
          <w:rFonts w:ascii="標楷體" w:eastAsia="標楷體" w:hAnsi="標楷體" w:hint="eastAsia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  <w:szCs w:val="28"/>
        </w:rPr>
        <w:t>（一）設置地點：</w:t>
      </w:r>
      <w:r w:rsidR="00995F72" w:rsidRPr="00990F95">
        <w:rPr>
          <w:rFonts w:ascii="標楷體" w:eastAsia="標楷體" w:hAnsi="標楷體" w:hint="eastAsia"/>
          <w:sz w:val="28"/>
          <w:szCs w:val="28"/>
        </w:rPr>
        <w:t>本</w:t>
      </w:r>
      <w:r w:rsidRPr="00990F95">
        <w:rPr>
          <w:rFonts w:ascii="標楷體" w:eastAsia="標楷體" w:hAnsi="標楷體" w:hint="eastAsia"/>
          <w:sz w:val="28"/>
          <w:szCs w:val="28"/>
        </w:rPr>
        <w:t>院</w:t>
      </w:r>
      <w:r w:rsidR="004C5C31" w:rsidRPr="00990F95">
        <w:rPr>
          <w:rFonts w:ascii="標楷體" w:eastAsia="標楷體" w:hAnsi="標楷體" w:hint="eastAsia"/>
          <w:sz w:val="28"/>
          <w:szCs w:val="28"/>
        </w:rPr>
        <w:t>日照中心</w:t>
      </w:r>
      <w:r w:rsidR="004C566D" w:rsidRPr="00990F95">
        <w:rPr>
          <w:rFonts w:ascii="標楷體" w:eastAsia="標楷體" w:hAnsi="標楷體" w:hint="eastAsia"/>
          <w:sz w:val="28"/>
          <w:szCs w:val="28"/>
        </w:rPr>
        <w:t>前</w:t>
      </w:r>
      <w:r w:rsidR="00995F72" w:rsidRPr="00990F95">
        <w:rPr>
          <w:rFonts w:ascii="標楷體" w:eastAsia="標楷體" w:hAnsi="標楷體" w:hint="eastAsia"/>
          <w:sz w:val="28"/>
          <w:szCs w:val="28"/>
        </w:rPr>
        <w:t>風雨走廊</w:t>
      </w:r>
      <w:r w:rsidR="00EB5206" w:rsidRPr="00990F95">
        <w:rPr>
          <w:rFonts w:ascii="標楷體" w:eastAsia="標楷體" w:hAnsi="標楷體" w:hint="eastAsia"/>
          <w:color w:val="000000"/>
          <w:sz w:val="28"/>
          <w:szCs w:val="28"/>
        </w:rPr>
        <w:t>(位置圖詳如附件)</w:t>
      </w:r>
      <w:r w:rsidRPr="00990F95">
        <w:rPr>
          <w:rFonts w:ascii="標楷體" w:eastAsia="標楷體" w:hAnsi="標楷體" w:hint="eastAsia"/>
          <w:sz w:val="28"/>
          <w:szCs w:val="28"/>
        </w:rPr>
        <w:t>。</w:t>
      </w:r>
    </w:p>
    <w:p w14:paraId="566F1BE9" w14:textId="77777777" w:rsidR="00AC3F8C" w:rsidRPr="00990F95" w:rsidRDefault="00AC3F8C" w:rsidP="00AC3F8C">
      <w:pPr>
        <w:pStyle w:val="a7"/>
        <w:spacing w:afterLines="50" w:after="120" w:line="360" w:lineRule="exact"/>
        <w:ind w:leftChars="472" w:left="1976" w:hangingChars="301" w:hanging="843"/>
        <w:jc w:val="both"/>
        <w:rPr>
          <w:rFonts w:ascii="標楷體" w:eastAsia="標楷體" w:hAnsi="標楷體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  <w:szCs w:val="28"/>
        </w:rPr>
        <w:t>（二）機種：飲料自動販賣機</w:t>
      </w:r>
      <w:r w:rsidR="002C42FE" w:rsidRPr="00990F95">
        <w:rPr>
          <w:rFonts w:ascii="標楷體" w:eastAsia="標楷體" w:hAnsi="標楷體" w:hint="eastAsia"/>
          <w:sz w:val="28"/>
          <w:szCs w:val="28"/>
        </w:rPr>
        <w:t>及</w:t>
      </w:r>
      <w:r w:rsidR="00B2519D" w:rsidRPr="00990F95">
        <w:rPr>
          <w:rFonts w:ascii="標楷體" w:eastAsia="標楷體" w:hAnsi="標楷體" w:hint="eastAsia"/>
          <w:sz w:val="28"/>
          <w:szCs w:val="28"/>
        </w:rPr>
        <w:t>食品自動販賣機</w:t>
      </w:r>
      <w:r w:rsidRPr="00990F95">
        <w:rPr>
          <w:rFonts w:ascii="標楷體" w:eastAsia="標楷體" w:hAnsi="標楷體" w:hint="eastAsia"/>
          <w:sz w:val="28"/>
          <w:szCs w:val="28"/>
        </w:rPr>
        <w:t>。</w:t>
      </w:r>
    </w:p>
    <w:p w14:paraId="7F8E979A" w14:textId="77777777" w:rsidR="00AC3F8C" w:rsidRPr="00990F95" w:rsidRDefault="00AC3F8C" w:rsidP="00AC3F8C">
      <w:pPr>
        <w:pStyle w:val="a7"/>
        <w:spacing w:afterLines="50" w:after="120" w:line="360" w:lineRule="exact"/>
        <w:ind w:leftChars="472" w:left="1976" w:hangingChars="301" w:hanging="843"/>
        <w:jc w:val="both"/>
        <w:rPr>
          <w:rFonts w:ascii="標楷體" w:eastAsia="標楷體" w:hAnsi="標楷體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  <w:szCs w:val="28"/>
        </w:rPr>
        <w:t>（三）數量：</w:t>
      </w:r>
      <w:r w:rsidR="00CD5571" w:rsidRPr="00990F95">
        <w:rPr>
          <w:rFonts w:ascii="標楷體" w:eastAsia="標楷體" w:hAnsi="標楷體" w:hint="eastAsia"/>
          <w:sz w:val="28"/>
          <w:szCs w:val="28"/>
        </w:rPr>
        <w:t>各1台，共計</w:t>
      </w:r>
      <w:r w:rsidR="00B2519D" w:rsidRPr="00990F95">
        <w:rPr>
          <w:rFonts w:ascii="標楷體" w:eastAsia="標楷體" w:hAnsi="標楷體" w:hint="eastAsia"/>
          <w:sz w:val="28"/>
          <w:szCs w:val="28"/>
        </w:rPr>
        <w:t>2</w:t>
      </w:r>
      <w:r w:rsidRPr="00990F95">
        <w:rPr>
          <w:rFonts w:ascii="標楷體" w:eastAsia="標楷體" w:hAnsi="標楷體" w:hint="eastAsia"/>
          <w:sz w:val="28"/>
          <w:szCs w:val="28"/>
        </w:rPr>
        <w:t>台。</w:t>
      </w:r>
    </w:p>
    <w:p w14:paraId="1C5AE69C" w14:textId="77777777" w:rsidR="00AC3F8C" w:rsidRPr="00990F95" w:rsidRDefault="00AC3F8C" w:rsidP="00AC3F8C">
      <w:pPr>
        <w:pStyle w:val="a7"/>
        <w:spacing w:afterLines="50" w:after="120" w:line="360" w:lineRule="exact"/>
        <w:ind w:leftChars="472" w:left="1976" w:hangingChars="301" w:hanging="843"/>
        <w:jc w:val="both"/>
        <w:rPr>
          <w:rFonts w:ascii="標楷體" w:eastAsia="標楷體" w:hAnsi="標楷體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  <w:szCs w:val="28"/>
        </w:rPr>
        <w:t>（四）</w:t>
      </w:r>
      <w:r w:rsidR="00DE75EE" w:rsidRPr="00990F95">
        <w:rPr>
          <w:rFonts w:ascii="標楷體" w:eastAsia="標楷體" w:hAnsi="標楷體" w:hint="eastAsia"/>
          <w:sz w:val="28"/>
          <w:szCs w:val="28"/>
        </w:rPr>
        <w:t>土地租用</w:t>
      </w:r>
      <w:r w:rsidRPr="00990F95">
        <w:rPr>
          <w:rFonts w:ascii="標楷體" w:eastAsia="標楷體" w:hAnsi="標楷體" w:hint="eastAsia"/>
          <w:sz w:val="28"/>
          <w:szCs w:val="28"/>
        </w:rPr>
        <w:t>面積</w:t>
      </w:r>
      <w:r w:rsidR="00DE75EE" w:rsidRPr="00990F95">
        <w:rPr>
          <w:rFonts w:ascii="標楷體" w:eastAsia="標楷體" w:hAnsi="標楷體" w:hint="eastAsia"/>
          <w:sz w:val="28"/>
          <w:szCs w:val="28"/>
        </w:rPr>
        <w:t>=</w:t>
      </w:r>
      <w:r w:rsidR="001A6A07" w:rsidRPr="00990F95">
        <w:rPr>
          <w:rFonts w:ascii="標楷體" w:eastAsia="標楷體" w:hAnsi="標楷體" w:hint="eastAsia"/>
          <w:sz w:val="28"/>
          <w:szCs w:val="28"/>
        </w:rPr>
        <w:t>2.4平方公尺</w:t>
      </w:r>
      <w:r w:rsidRPr="00990F95">
        <w:rPr>
          <w:rFonts w:ascii="標楷體" w:eastAsia="標楷體" w:hAnsi="標楷體" w:hint="eastAsia"/>
          <w:sz w:val="28"/>
          <w:szCs w:val="28"/>
        </w:rPr>
        <w:t>。</w:t>
      </w:r>
    </w:p>
    <w:p w14:paraId="664DA54B" w14:textId="77777777" w:rsidR="00AC3F8C" w:rsidRPr="00990F95" w:rsidRDefault="00AC3F8C" w:rsidP="0069178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（五）綜合飲料至少</w:t>
      </w:r>
      <w:r w:rsidRPr="00990F95">
        <w:rPr>
          <w:rFonts w:ascii="標楷體" w:eastAsia="標楷體" w:hAnsi="標楷體"/>
          <w:color w:val="000000"/>
          <w:sz w:val="28"/>
        </w:rPr>
        <w:t>1</w:t>
      </w:r>
      <w:r w:rsidRPr="00990F95">
        <w:rPr>
          <w:rFonts w:ascii="標楷體" w:eastAsia="標楷體" w:hAnsi="標楷體" w:hint="eastAsia"/>
          <w:color w:val="000000"/>
          <w:sz w:val="28"/>
        </w:rPr>
        <w:t>6</w:t>
      </w:r>
      <w:r w:rsidR="00A33792" w:rsidRPr="00990F95">
        <w:rPr>
          <w:rFonts w:ascii="標楷體" w:eastAsia="標楷體" w:hAnsi="標楷體" w:hint="eastAsia"/>
          <w:color w:val="000000"/>
          <w:sz w:val="28"/>
        </w:rPr>
        <w:t>項</w:t>
      </w:r>
      <w:r w:rsidRPr="00990F95">
        <w:rPr>
          <w:rFonts w:ascii="標楷體" w:eastAsia="標楷體" w:hAnsi="標楷體" w:hint="eastAsia"/>
          <w:color w:val="000000"/>
          <w:sz w:val="28"/>
        </w:rPr>
        <w:t>以上，內容至少需含運動飲料、碳酸飲料及茶類飲品（紅茶、綠茶、奶茶）等</w:t>
      </w:r>
      <w:r w:rsidR="00AD240A" w:rsidRPr="00990F95">
        <w:rPr>
          <w:rFonts w:ascii="標楷體" w:eastAsia="標楷體" w:hAnsi="標楷體" w:hint="eastAsia"/>
          <w:color w:val="000000"/>
          <w:sz w:val="28"/>
        </w:rPr>
        <w:t>；零食須符合產品</w:t>
      </w:r>
      <w:r w:rsidR="00863DB6" w:rsidRPr="00990F95">
        <w:rPr>
          <w:rFonts w:ascii="標楷體" w:eastAsia="標楷體" w:hAnsi="標楷體" w:hint="eastAsia"/>
          <w:color w:val="000000"/>
          <w:sz w:val="28"/>
        </w:rPr>
        <w:t>規範事項之巧克力、餅乾、速食麵、杯麵、碗麵等</w:t>
      </w:r>
      <w:r w:rsidR="006D423C" w:rsidRPr="00990F95">
        <w:rPr>
          <w:rFonts w:ascii="標楷體" w:eastAsia="標楷體" w:hAnsi="標楷體" w:hint="eastAsia"/>
          <w:color w:val="000000"/>
          <w:sz w:val="28"/>
        </w:rPr>
        <w:t>，前開販</w:t>
      </w:r>
      <w:r w:rsidR="00EC5362" w:rsidRPr="00990F95">
        <w:rPr>
          <w:rFonts w:ascii="標楷體" w:eastAsia="標楷體" w:hAnsi="標楷體" w:hint="eastAsia"/>
          <w:color w:val="000000"/>
          <w:sz w:val="28"/>
        </w:rPr>
        <w:t>售產</w:t>
      </w:r>
      <w:r w:rsidR="006D423C" w:rsidRPr="00990F95">
        <w:rPr>
          <w:rFonts w:ascii="標楷體" w:eastAsia="標楷體" w:hAnsi="標楷體" w:hint="eastAsia"/>
          <w:color w:val="000000"/>
          <w:sz w:val="28"/>
        </w:rPr>
        <w:t>品均須符合自助販賣機販售食品之標示規定</w:t>
      </w:r>
      <w:r w:rsidRPr="00990F95">
        <w:rPr>
          <w:rFonts w:ascii="標楷體" w:eastAsia="標楷體" w:hAnsi="標楷體" w:hint="eastAsia"/>
          <w:color w:val="000000"/>
          <w:sz w:val="28"/>
        </w:rPr>
        <w:t>。</w:t>
      </w:r>
    </w:p>
    <w:p w14:paraId="4BCB180B" w14:textId="77777777" w:rsidR="008C0CC9" w:rsidRPr="00990F95" w:rsidRDefault="007F20BA" w:rsidP="006C2FD3">
      <w:pPr>
        <w:pStyle w:val="a7"/>
        <w:spacing w:afterLines="50" w:after="120" w:line="360" w:lineRule="exact"/>
        <w:ind w:left="1134" w:hangingChars="405" w:hanging="1134"/>
        <w:jc w:val="both"/>
        <w:rPr>
          <w:rFonts w:ascii="標楷體" w:eastAsia="標楷體" w:hAnsi="標楷體" w:hint="eastAsia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  <w:szCs w:val="28"/>
        </w:rPr>
        <w:t>第</w:t>
      </w:r>
      <w:r w:rsidR="00EB5206" w:rsidRPr="00990F95">
        <w:rPr>
          <w:rFonts w:ascii="標楷體" w:eastAsia="標楷體" w:hAnsi="標楷體" w:hint="eastAsia"/>
          <w:sz w:val="28"/>
        </w:rPr>
        <w:t>三</w:t>
      </w:r>
      <w:r w:rsidRPr="00990F95">
        <w:rPr>
          <w:rFonts w:ascii="標楷體" w:eastAsia="標楷體" w:hAnsi="標楷體" w:hint="eastAsia"/>
          <w:sz w:val="28"/>
          <w:szCs w:val="28"/>
        </w:rPr>
        <w:t xml:space="preserve">條  </w:t>
      </w:r>
      <w:r w:rsidR="008C0CC9" w:rsidRPr="00990F95">
        <w:rPr>
          <w:rFonts w:ascii="標楷體" w:eastAsia="標楷體" w:hAnsi="標楷體" w:hint="eastAsia"/>
          <w:sz w:val="28"/>
          <w:szCs w:val="28"/>
        </w:rPr>
        <w:t>本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8C0CC9" w:rsidRPr="00990F95">
        <w:rPr>
          <w:rFonts w:ascii="標楷體" w:eastAsia="標楷體" w:hAnsi="標楷體" w:hint="eastAsia"/>
          <w:sz w:val="28"/>
          <w:szCs w:val="28"/>
        </w:rPr>
        <w:t>期間自</w:t>
      </w:r>
      <w:r w:rsidR="00E57020" w:rsidRPr="00990F95">
        <w:rPr>
          <w:rFonts w:ascii="標楷體" w:eastAsia="標楷體" w:hAnsi="標楷體" w:hint="eastAsia"/>
          <w:sz w:val="28"/>
          <w:szCs w:val="28"/>
        </w:rPr>
        <w:t>11</w:t>
      </w:r>
      <w:r w:rsidR="00155D57" w:rsidRPr="00990F95">
        <w:rPr>
          <w:rFonts w:ascii="標楷體" w:eastAsia="標楷體" w:hAnsi="標楷體" w:hint="eastAsia"/>
          <w:sz w:val="28"/>
          <w:szCs w:val="28"/>
        </w:rPr>
        <w:t>5</w:t>
      </w:r>
      <w:r w:rsidR="00DC6B27" w:rsidRPr="00990F95">
        <w:rPr>
          <w:rFonts w:ascii="標楷體" w:eastAsia="標楷體" w:hAnsi="標楷體" w:hint="eastAsia"/>
          <w:sz w:val="28"/>
          <w:szCs w:val="28"/>
        </w:rPr>
        <w:t>年1月</w:t>
      </w:r>
      <w:r w:rsidR="00EE505C" w:rsidRPr="00990F95">
        <w:rPr>
          <w:rFonts w:ascii="標楷體" w:eastAsia="標楷體" w:hAnsi="標楷體" w:hint="eastAsia"/>
          <w:sz w:val="28"/>
          <w:szCs w:val="28"/>
        </w:rPr>
        <w:t>1</w:t>
      </w:r>
      <w:r w:rsidR="00DC6B27" w:rsidRPr="00990F95">
        <w:rPr>
          <w:rFonts w:ascii="標楷體" w:eastAsia="標楷體" w:hAnsi="標楷體" w:hint="eastAsia"/>
          <w:sz w:val="28"/>
          <w:szCs w:val="28"/>
        </w:rPr>
        <w:t>日</w:t>
      </w:r>
      <w:r w:rsidR="008C0CC9" w:rsidRPr="00990F95">
        <w:rPr>
          <w:rFonts w:ascii="標楷體" w:eastAsia="標楷體" w:hAnsi="標楷體" w:hint="eastAsia"/>
          <w:sz w:val="28"/>
          <w:szCs w:val="28"/>
        </w:rPr>
        <w:t>起至</w:t>
      </w:r>
      <w:r w:rsidR="00E57020" w:rsidRPr="00990F95">
        <w:rPr>
          <w:rFonts w:ascii="標楷體" w:eastAsia="標楷體" w:hAnsi="標楷體" w:hint="eastAsia"/>
          <w:sz w:val="28"/>
          <w:szCs w:val="28"/>
        </w:rPr>
        <w:t>11</w:t>
      </w:r>
      <w:r w:rsidR="00155D57" w:rsidRPr="00990F95">
        <w:rPr>
          <w:rFonts w:ascii="標楷體" w:eastAsia="標楷體" w:hAnsi="標楷體" w:hint="eastAsia"/>
          <w:sz w:val="28"/>
          <w:szCs w:val="28"/>
        </w:rPr>
        <w:t>5</w:t>
      </w:r>
      <w:r w:rsidR="008C0CC9" w:rsidRPr="00990F95">
        <w:rPr>
          <w:rFonts w:ascii="標楷體" w:eastAsia="標楷體" w:hAnsi="標楷體" w:hint="eastAsia"/>
          <w:sz w:val="28"/>
          <w:szCs w:val="28"/>
        </w:rPr>
        <w:t>年</w:t>
      </w:r>
      <w:r w:rsidR="00AC3F8C" w:rsidRPr="00990F95">
        <w:rPr>
          <w:rFonts w:ascii="標楷體" w:eastAsia="標楷體" w:hAnsi="標楷體" w:hint="eastAsia"/>
          <w:sz w:val="28"/>
          <w:szCs w:val="28"/>
        </w:rPr>
        <w:t>12</w:t>
      </w:r>
      <w:r w:rsidR="008C0CC9" w:rsidRPr="00990F95">
        <w:rPr>
          <w:rFonts w:ascii="標楷體" w:eastAsia="標楷體" w:hAnsi="標楷體" w:hint="eastAsia"/>
          <w:sz w:val="28"/>
          <w:szCs w:val="28"/>
        </w:rPr>
        <w:t>月</w:t>
      </w:r>
      <w:r w:rsidR="00AC3F8C" w:rsidRPr="00990F95">
        <w:rPr>
          <w:rFonts w:ascii="標楷體" w:eastAsia="標楷體" w:hAnsi="標楷體" w:hint="eastAsia"/>
          <w:sz w:val="28"/>
          <w:szCs w:val="28"/>
        </w:rPr>
        <w:t>3</w:t>
      </w:r>
      <w:r w:rsidR="00EE505C" w:rsidRPr="00990F95">
        <w:rPr>
          <w:rFonts w:ascii="標楷體" w:eastAsia="標楷體" w:hAnsi="標楷體" w:hint="eastAsia"/>
          <w:sz w:val="28"/>
          <w:szCs w:val="28"/>
        </w:rPr>
        <w:t>1</w:t>
      </w:r>
      <w:r w:rsidR="008C0CC9" w:rsidRPr="00990F95">
        <w:rPr>
          <w:rFonts w:ascii="標楷體" w:eastAsia="標楷體" w:hAnsi="標楷體" w:hint="eastAsia"/>
          <w:sz w:val="28"/>
          <w:szCs w:val="28"/>
        </w:rPr>
        <w:t>日止。</w:t>
      </w:r>
    </w:p>
    <w:p w14:paraId="49664A1E" w14:textId="77777777" w:rsidR="006E1F9B" w:rsidRPr="00990F95" w:rsidRDefault="007F20BA" w:rsidP="002F2A81">
      <w:pPr>
        <w:tabs>
          <w:tab w:val="left" w:pos="1134"/>
        </w:tabs>
        <w:snapToGrid w:val="0"/>
        <w:spacing w:line="500" w:lineRule="exact"/>
        <w:ind w:left="1131" w:rightChars="100" w:right="240" w:hangingChars="404" w:hanging="1131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sz w:val="28"/>
        </w:rPr>
        <w:t>第</w:t>
      </w:r>
      <w:r w:rsidR="008A49BE" w:rsidRPr="00990F95">
        <w:rPr>
          <w:rFonts w:ascii="標楷體" w:eastAsia="標楷體" w:hAnsi="標楷體" w:hint="eastAsia"/>
          <w:color w:val="000000"/>
          <w:sz w:val="28"/>
        </w:rPr>
        <w:t>四</w:t>
      </w:r>
      <w:r w:rsidRPr="00990F95">
        <w:rPr>
          <w:rFonts w:ascii="標楷體" w:eastAsia="標楷體" w:hAnsi="標楷體" w:hint="eastAsia"/>
          <w:sz w:val="28"/>
        </w:rPr>
        <w:t>條</w:t>
      </w:r>
      <w:r w:rsidR="00DD78A0" w:rsidRPr="00990F95">
        <w:rPr>
          <w:rFonts w:ascii="標楷體" w:eastAsia="標楷體" w:hAnsi="標楷體" w:hint="eastAsia"/>
          <w:sz w:val="28"/>
        </w:rPr>
        <w:t xml:space="preserve"> </w:t>
      </w:r>
      <w:r w:rsidR="00BF1FCA" w:rsidRPr="00990F95">
        <w:rPr>
          <w:rFonts w:ascii="標楷體" w:eastAsia="標楷體" w:hAnsi="標楷體"/>
          <w:sz w:val="28"/>
        </w:rPr>
        <w:t xml:space="preserve"> </w:t>
      </w:r>
      <w:r w:rsidR="00601767" w:rsidRPr="00990F95">
        <w:rPr>
          <w:rFonts w:ascii="標楷體" w:eastAsia="標楷體" w:hAnsi="標楷體" w:hint="eastAsia"/>
          <w:sz w:val="28"/>
        </w:rPr>
        <w:t>販賣機2台</w:t>
      </w:r>
      <w:r w:rsidR="00DD78A0" w:rsidRPr="00990F95">
        <w:rPr>
          <w:rFonts w:ascii="標楷體" w:eastAsia="標楷體" w:hAnsi="標楷體" w:hint="eastAsia"/>
          <w:sz w:val="28"/>
        </w:rPr>
        <w:t>租</w:t>
      </w:r>
      <w:r w:rsidR="00AC3F8C" w:rsidRPr="00990F95">
        <w:rPr>
          <w:rFonts w:ascii="標楷體" w:eastAsia="標楷體" w:hAnsi="標楷體" w:hint="eastAsia"/>
          <w:sz w:val="28"/>
        </w:rPr>
        <w:t>金</w:t>
      </w:r>
      <w:r w:rsidR="00D4207A" w:rsidRPr="00990F95">
        <w:rPr>
          <w:rFonts w:ascii="標楷體" w:eastAsia="標楷體" w:hAnsi="標楷體" w:hint="eastAsia"/>
          <w:sz w:val="28"/>
        </w:rPr>
        <w:t xml:space="preserve">每月新臺幣 </w:t>
      </w:r>
      <w:r w:rsidR="00D57191" w:rsidRPr="00990F95">
        <w:rPr>
          <w:rFonts w:ascii="標楷體" w:eastAsia="標楷體" w:hAnsi="標楷體" w:hint="eastAsia"/>
          <w:sz w:val="28"/>
        </w:rPr>
        <w:t xml:space="preserve">   </w:t>
      </w:r>
      <w:r w:rsidR="00D4207A" w:rsidRPr="00990F95">
        <w:rPr>
          <w:rFonts w:ascii="標楷體" w:eastAsia="標楷體" w:hAnsi="標楷體"/>
          <w:sz w:val="28"/>
        </w:rPr>
        <w:t xml:space="preserve"> </w:t>
      </w:r>
      <w:r w:rsidR="00D4207A" w:rsidRPr="00990F95">
        <w:rPr>
          <w:rFonts w:ascii="標楷體" w:eastAsia="標楷體" w:hAnsi="標楷體" w:hint="eastAsia"/>
          <w:sz w:val="28"/>
        </w:rPr>
        <w:t>元</w:t>
      </w:r>
      <w:r w:rsidR="00D4207A" w:rsidRPr="00990F95">
        <w:rPr>
          <w:rFonts w:ascii="標楷體" w:eastAsia="標楷體" w:hAnsi="標楷體" w:hint="eastAsia"/>
          <w:sz w:val="28"/>
          <w:szCs w:val="28"/>
        </w:rPr>
        <w:t>(含電費及標租營業稅)，</w:t>
      </w:r>
      <w:r w:rsidR="00603CC5" w:rsidRPr="00990F95">
        <w:rPr>
          <w:rFonts w:ascii="標楷體" w:eastAsia="標楷體" w:hAnsi="標楷體" w:hint="eastAsia"/>
          <w:sz w:val="28"/>
        </w:rPr>
        <w:t>年租金</w:t>
      </w:r>
      <w:r w:rsidR="006A1252" w:rsidRPr="00990F95">
        <w:rPr>
          <w:rFonts w:ascii="標楷體" w:eastAsia="標楷體" w:hAnsi="標楷體" w:hint="eastAsia"/>
          <w:sz w:val="28"/>
        </w:rPr>
        <w:t>計</w:t>
      </w:r>
      <w:r w:rsidR="00603CC5" w:rsidRPr="00990F95">
        <w:rPr>
          <w:rFonts w:ascii="標楷體" w:eastAsia="標楷體" w:hAnsi="標楷體" w:hint="eastAsia"/>
          <w:sz w:val="28"/>
        </w:rPr>
        <w:t>新臺幣</w:t>
      </w:r>
      <w:r w:rsidR="00EE505C" w:rsidRPr="00990F95">
        <w:rPr>
          <w:rFonts w:ascii="標楷體" w:eastAsia="標楷體" w:hAnsi="標楷體"/>
          <w:sz w:val="28"/>
        </w:rPr>
        <w:t xml:space="preserve"> </w:t>
      </w:r>
      <w:r w:rsidR="00D57191" w:rsidRPr="00990F95">
        <w:rPr>
          <w:rFonts w:ascii="標楷體" w:eastAsia="標楷體" w:hAnsi="標楷體"/>
          <w:sz w:val="28"/>
        </w:rPr>
        <w:t xml:space="preserve">   </w:t>
      </w:r>
      <w:r w:rsidR="00EE505C" w:rsidRPr="00990F95">
        <w:rPr>
          <w:rFonts w:ascii="標楷體" w:eastAsia="標楷體" w:hAnsi="標楷體"/>
          <w:sz w:val="28"/>
        </w:rPr>
        <w:t xml:space="preserve"> </w:t>
      </w:r>
      <w:r w:rsidR="00CE2937" w:rsidRPr="00990F95">
        <w:rPr>
          <w:rFonts w:ascii="標楷體" w:eastAsia="標楷體" w:hAnsi="標楷體" w:hint="eastAsia"/>
          <w:sz w:val="28"/>
        </w:rPr>
        <w:t>元</w:t>
      </w:r>
      <w:r w:rsidR="0069178F" w:rsidRPr="00990F95">
        <w:rPr>
          <w:rFonts w:ascii="標楷體" w:eastAsia="標楷體" w:hAnsi="標楷體" w:hint="eastAsia"/>
          <w:sz w:val="28"/>
        </w:rPr>
        <w:t>，</w:t>
      </w:r>
      <w:r w:rsidR="00D4207A" w:rsidRPr="00990F9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自契約完成後依實際設置日期起算</w:t>
      </w:r>
      <w:r w:rsidR="00052A8B" w:rsidRPr="00990F9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D4207A" w:rsidRPr="00990F9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不足月的租金部分按比例計算</w:t>
      </w:r>
      <w:r w:rsidR="00D4207A" w:rsidRPr="00990F9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69178F" w:rsidRPr="00990F95">
        <w:rPr>
          <w:rFonts w:ascii="標楷體" w:eastAsia="標楷體" w:hAnsi="標楷體" w:hint="eastAsia"/>
          <w:sz w:val="28"/>
        </w:rPr>
        <w:t>由</w:t>
      </w:r>
      <w:r w:rsidR="0069178F" w:rsidRPr="00990F95">
        <w:rPr>
          <w:rFonts w:ascii="標楷體" w:eastAsia="標楷體" w:hAnsi="標楷體" w:hint="eastAsia"/>
          <w:sz w:val="28"/>
          <w:szCs w:val="28"/>
        </w:rPr>
        <w:t>乙方</w:t>
      </w:r>
      <w:r w:rsidR="0069178F" w:rsidRPr="00990F95">
        <w:rPr>
          <w:rFonts w:ascii="標楷體" w:eastAsia="標楷體" w:hAnsi="標楷體" w:hint="eastAsia"/>
          <w:sz w:val="28"/>
        </w:rPr>
        <w:t>於</w:t>
      </w:r>
      <w:r w:rsidR="00E57020" w:rsidRPr="00990F95">
        <w:rPr>
          <w:rFonts w:ascii="標楷體" w:eastAsia="標楷體" w:hAnsi="標楷體" w:hint="eastAsia"/>
          <w:sz w:val="28"/>
        </w:rPr>
        <w:t>得標後20日</w:t>
      </w:r>
      <w:r w:rsidR="00E57020" w:rsidRPr="00990F95">
        <w:rPr>
          <w:rFonts w:ascii="標楷體" w:eastAsia="標楷體" w:hAnsi="標楷體" w:hint="eastAsia"/>
          <w:sz w:val="28"/>
          <w:szCs w:val="28"/>
        </w:rPr>
        <w:t>(本契約所稱日數均為日曆天)內</w:t>
      </w:r>
      <w:r w:rsidR="0069178F" w:rsidRPr="00990F95">
        <w:rPr>
          <w:rFonts w:ascii="標楷體" w:eastAsia="標楷體" w:hAnsi="標楷體" w:hint="eastAsia"/>
          <w:sz w:val="28"/>
        </w:rPr>
        <w:t>向</w:t>
      </w:r>
      <w:r w:rsidR="0069178F" w:rsidRPr="00990F95">
        <w:rPr>
          <w:rFonts w:ascii="標楷體" w:eastAsia="標楷體" w:hAnsi="標楷體" w:hint="eastAsia"/>
          <w:sz w:val="28"/>
          <w:szCs w:val="28"/>
        </w:rPr>
        <w:t>甲方</w:t>
      </w:r>
      <w:r w:rsidR="0069178F" w:rsidRPr="00990F95">
        <w:rPr>
          <w:rFonts w:ascii="標楷體" w:eastAsia="標楷體" w:hAnsi="標楷體" w:hint="eastAsia"/>
          <w:sz w:val="28"/>
        </w:rPr>
        <w:t>繳</w:t>
      </w:r>
      <w:r w:rsidR="0069178F" w:rsidRPr="00990F95">
        <w:rPr>
          <w:rFonts w:ascii="標楷體" w:eastAsia="標楷體" w:hAnsi="標楷體" w:hint="eastAsia"/>
          <w:color w:val="000000"/>
          <w:sz w:val="28"/>
        </w:rPr>
        <w:t>納。</w:t>
      </w:r>
    </w:p>
    <w:p w14:paraId="74363EDB" w14:textId="77777777" w:rsidR="003F6ADC" w:rsidRPr="00990F95" w:rsidRDefault="003F6ADC" w:rsidP="00603CC5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 w:hint="eastAsia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</w:rPr>
        <w:t xml:space="preserve">        乙方得先評估甲方提供之設備是否符合設置需求，如</w:t>
      </w:r>
      <w:r w:rsidR="00275DD2" w:rsidRPr="00990F95">
        <w:rPr>
          <w:rFonts w:ascii="標楷體" w:eastAsia="標楷體" w:hAnsi="標楷體" w:hint="eastAsia"/>
          <w:sz w:val="28"/>
        </w:rPr>
        <w:t>經甲方確認屬</w:t>
      </w:r>
      <w:r w:rsidRPr="00990F95">
        <w:rPr>
          <w:rFonts w:ascii="標楷體" w:eastAsia="標楷體" w:hAnsi="標楷體" w:hint="eastAsia"/>
          <w:sz w:val="28"/>
        </w:rPr>
        <w:t>因甲方設備須改善</w:t>
      </w:r>
      <w:r w:rsidR="00275DD2" w:rsidRPr="00990F95">
        <w:rPr>
          <w:rFonts w:ascii="標楷體" w:eastAsia="標楷體" w:hAnsi="標楷體" w:hint="eastAsia"/>
          <w:sz w:val="28"/>
        </w:rPr>
        <w:t>且無其他替代方案</w:t>
      </w:r>
      <w:r w:rsidRPr="00990F95">
        <w:rPr>
          <w:rFonts w:ascii="標楷體" w:eastAsia="標楷體" w:hAnsi="標楷體" w:hint="eastAsia"/>
          <w:sz w:val="28"/>
        </w:rPr>
        <w:t>致</w:t>
      </w:r>
      <w:r w:rsidRPr="00990F95">
        <w:rPr>
          <w:rFonts w:ascii="標楷體" w:eastAsia="標楷體" w:hAnsi="標楷體" w:hint="eastAsia"/>
          <w:sz w:val="28"/>
          <w:szCs w:val="28"/>
        </w:rPr>
        <w:t>飲料</w:t>
      </w:r>
      <w:r w:rsidR="000A5A01" w:rsidRPr="00990F95">
        <w:rPr>
          <w:rFonts w:ascii="標楷體" w:eastAsia="標楷體" w:hAnsi="標楷體" w:hint="eastAsia"/>
          <w:sz w:val="28"/>
          <w:szCs w:val="28"/>
        </w:rPr>
        <w:t>及食品</w:t>
      </w:r>
      <w:r w:rsidRPr="00990F95">
        <w:rPr>
          <w:rFonts w:ascii="標楷體" w:eastAsia="標楷體" w:hAnsi="標楷體" w:hint="eastAsia"/>
          <w:sz w:val="28"/>
          <w:szCs w:val="28"/>
        </w:rPr>
        <w:t>自動販賣機無法如期設置</w:t>
      </w:r>
      <w:r w:rsidR="00275DD2" w:rsidRPr="00990F95">
        <w:rPr>
          <w:rFonts w:ascii="標楷體" w:eastAsia="標楷體" w:hAnsi="標楷體" w:hint="eastAsia"/>
          <w:sz w:val="28"/>
        </w:rPr>
        <w:t>，另經</w:t>
      </w:r>
      <w:r w:rsidRPr="00990F95">
        <w:rPr>
          <w:rFonts w:ascii="標楷體" w:eastAsia="標楷體" w:hAnsi="標楷體" w:hint="eastAsia"/>
          <w:sz w:val="28"/>
        </w:rPr>
        <w:t>甲方</w:t>
      </w:r>
      <w:r w:rsidR="00275DD2" w:rsidRPr="00990F95">
        <w:rPr>
          <w:rFonts w:ascii="標楷體" w:eastAsia="標楷體" w:hAnsi="標楷體" w:hint="eastAsia"/>
          <w:sz w:val="28"/>
        </w:rPr>
        <w:t>改善設備後並發文</w:t>
      </w:r>
      <w:r w:rsidRPr="00990F95">
        <w:rPr>
          <w:rFonts w:ascii="標楷體" w:eastAsia="標楷體" w:hAnsi="標楷體" w:hint="eastAsia"/>
          <w:sz w:val="28"/>
        </w:rPr>
        <w:t>通知</w:t>
      </w:r>
      <w:r w:rsidR="00275DD2" w:rsidRPr="00990F95">
        <w:rPr>
          <w:rFonts w:ascii="標楷體" w:eastAsia="標楷體" w:hAnsi="標楷體" w:hint="eastAsia"/>
          <w:sz w:val="28"/>
        </w:rPr>
        <w:t>日起</w:t>
      </w:r>
      <w:r w:rsidRPr="00990F95">
        <w:rPr>
          <w:rFonts w:ascii="標楷體" w:eastAsia="標楷體" w:hAnsi="標楷體" w:hint="eastAsia"/>
          <w:sz w:val="28"/>
        </w:rPr>
        <w:t>10日內</w:t>
      </w:r>
      <w:r w:rsidR="00275DD2" w:rsidRPr="00990F95">
        <w:rPr>
          <w:rFonts w:ascii="標楷體" w:eastAsia="標楷體" w:hAnsi="標楷體" w:hint="eastAsia"/>
          <w:sz w:val="28"/>
        </w:rPr>
        <w:t>由乙方完成設置，並依實際設置日期起算租金，倘逾期設置將以發文通知第11日為起始日計算租金</w:t>
      </w:r>
      <w:r w:rsidRPr="00990F95">
        <w:rPr>
          <w:rFonts w:ascii="標楷體" w:eastAsia="標楷體" w:hAnsi="標楷體" w:hint="eastAsia"/>
          <w:sz w:val="28"/>
        </w:rPr>
        <w:t>。</w:t>
      </w:r>
    </w:p>
    <w:p w14:paraId="60164F38" w14:textId="77777777" w:rsidR="006E1F9B" w:rsidRPr="00990F95" w:rsidRDefault="006E1F9B" w:rsidP="006E1F9B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甲方應於收訖該價金後，開立同等金額之收據予乙方。</w:t>
      </w:r>
    </w:p>
    <w:p w14:paraId="52E9F454" w14:textId="77777777" w:rsidR="009E5707" w:rsidRPr="00990F95" w:rsidRDefault="006E1F9B" w:rsidP="009E5707">
      <w:pPr>
        <w:snapToGrid w:val="0"/>
        <w:spacing w:line="500" w:lineRule="exact"/>
        <w:ind w:leftChars="471" w:left="1130" w:firstLineChars="1" w:firstLine="3"/>
        <w:jc w:val="both"/>
        <w:rPr>
          <w:rFonts w:ascii="標楷體" w:eastAsia="標楷體" w:hAnsi="標楷體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  <w:szCs w:val="28"/>
        </w:rPr>
        <w:t>乙方</w:t>
      </w:r>
      <w:r w:rsidRPr="00990F95">
        <w:rPr>
          <w:rFonts w:ascii="標楷體" w:eastAsia="標楷體" w:hAnsi="標楷體" w:cs="Courier New" w:hint="eastAsia"/>
          <w:sz w:val="28"/>
          <w:szCs w:val="28"/>
        </w:rPr>
        <w:t>如不依限繳納，每逾</w:t>
      </w:r>
      <w:r w:rsidRPr="00990F95">
        <w:rPr>
          <w:rFonts w:ascii="標楷體" w:eastAsia="標楷體" w:hAnsi="標楷體"/>
          <w:sz w:val="28"/>
          <w:szCs w:val="28"/>
        </w:rPr>
        <w:t>1</w:t>
      </w:r>
      <w:r w:rsidRPr="00990F95">
        <w:rPr>
          <w:rFonts w:ascii="標楷體" w:eastAsia="標楷體" w:hAnsi="標楷體" w:cs="Courier New" w:hint="eastAsia"/>
          <w:sz w:val="28"/>
          <w:szCs w:val="28"/>
        </w:rPr>
        <w:t>日按未繳數額加收遲延費</w:t>
      </w:r>
      <w:r w:rsidRPr="00990F95">
        <w:rPr>
          <w:rFonts w:ascii="標楷體" w:eastAsia="標楷體" w:hAnsi="標楷體" w:cs="Courier New"/>
          <w:sz w:val="28"/>
          <w:szCs w:val="28"/>
        </w:rPr>
        <w:t>2</w:t>
      </w:r>
      <w:r w:rsidR="00A33792" w:rsidRPr="00990F95">
        <w:rPr>
          <w:rFonts w:ascii="標楷體" w:eastAsia="標楷體" w:hAnsi="標楷體" w:cs="Courier New"/>
          <w:sz w:val="28"/>
          <w:szCs w:val="28"/>
        </w:rPr>
        <w:t>%</w:t>
      </w:r>
      <w:r w:rsidRPr="00990F95">
        <w:rPr>
          <w:rFonts w:ascii="標楷體" w:eastAsia="標楷體" w:hAnsi="標楷體" w:cs="Courier New" w:hint="eastAsia"/>
          <w:sz w:val="28"/>
          <w:szCs w:val="28"/>
        </w:rPr>
        <w:t>，逾</w:t>
      </w:r>
      <w:r w:rsidRPr="00990F95">
        <w:rPr>
          <w:rFonts w:ascii="標楷體" w:eastAsia="標楷體" w:hAnsi="標楷體" w:cs="Courier New"/>
          <w:sz w:val="28"/>
          <w:szCs w:val="28"/>
        </w:rPr>
        <w:t>30</w:t>
      </w:r>
      <w:r w:rsidRPr="00990F95">
        <w:rPr>
          <w:rFonts w:ascii="標楷體" w:eastAsia="標楷體" w:hAnsi="標楷體" w:hint="eastAsia"/>
          <w:sz w:val="28"/>
          <w:szCs w:val="28"/>
        </w:rPr>
        <w:t>日仍未繳清者，甲方得終止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990F95">
        <w:rPr>
          <w:rFonts w:ascii="標楷體" w:eastAsia="標楷體" w:hAnsi="標楷體" w:hint="eastAsia"/>
          <w:sz w:val="28"/>
          <w:szCs w:val="28"/>
        </w:rPr>
        <w:t>。</w:t>
      </w:r>
    </w:p>
    <w:p w14:paraId="744F2450" w14:textId="77777777" w:rsidR="001635FD" w:rsidRPr="00990F95" w:rsidRDefault="006143DB" w:rsidP="006143DB">
      <w:pPr>
        <w:snapToGrid w:val="0"/>
        <w:spacing w:line="500" w:lineRule="exact"/>
        <w:ind w:left="1134" w:hangingChars="405" w:hanging="1134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 xml:space="preserve">第五條　</w:t>
      </w:r>
      <w:r w:rsidR="001635FD" w:rsidRPr="00990F95">
        <w:rPr>
          <w:rFonts w:ascii="標楷體" w:eastAsia="標楷體" w:hAnsi="標楷體" w:hint="eastAsia"/>
          <w:color w:val="000000"/>
          <w:sz w:val="28"/>
        </w:rPr>
        <w:t>甲方提供電源供乙方接用，乙方應負責電路配線施工(含配線及開關等)相關費用。電費已納入租金收取，履約期間如遇電價調整不再調整本案租金總額。</w:t>
      </w:r>
    </w:p>
    <w:p w14:paraId="1B30FD30" w14:textId="77777777" w:rsidR="006E1F9B" w:rsidRPr="00990F95" w:rsidRDefault="00CA3D31" w:rsidP="006E1F9B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lastRenderedPageBreak/>
        <w:t>第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六</w:t>
      </w:r>
      <w:r w:rsidRPr="00990F95">
        <w:rPr>
          <w:rFonts w:ascii="標楷體" w:eastAsia="標楷體" w:hAnsi="標楷體" w:hint="eastAsia"/>
          <w:color w:val="000000"/>
          <w:sz w:val="28"/>
        </w:rPr>
        <w:t xml:space="preserve">條　</w:t>
      </w:r>
      <w:r w:rsidR="006E1F9B" w:rsidRPr="00990F95">
        <w:rPr>
          <w:rFonts w:ascii="標楷體" w:eastAsia="標楷體" w:hAnsi="標楷體" w:hint="eastAsia"/>
          <w:color w:val="000000"/>
          <w:sz w:val="28"/>
        </w:rPr>
        <w:t>乙方不得以甲方名義對外賒欠貨物、借貸銀錢、招募員工或招攬生意。凡乙方因營業所衍生之稅費等金錢上一切行為，由乙方自行負擔，概與甲方無關；如涉及法律糾紛或受主管機關處罰時，概由乙方自行負責，與甲方無涉。</w:t>
      </w:r>
    </w:p>
    <w:p w14:paraId="416DD21C" w14:textId="77777777" w:rsidR="006E1F9B" w:rsidRPr="00990F95" w:rsidRDefault="00D15CD1" w:rsidP="00D739C6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七</w:t>
      </w:r>
      <w:r w:rsidRPr="00990F95">
        <w:rPr>
          <w:rFonts w:ascii="標楷體" w:eastAsia="標楷體" w:hAnsi="標楷體" w:hint="eastAsia"/>
          <w:color w:val="000000"/>
          <w:sz w:val="28"/>
        </w:rPr>
        <w:t>條</w:t>
      </w:r>
      <w:r w:rsidR="006C2FD3" w:rsidRPr="00990F95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D739C6" w:rsidRPr="00990F95">
        <w:rPr>
          <w:rFonts w:ascii="標楷體" w:eastAsia="標楷體" w:hAnsi="標楷體" w:hint="eastAsia"/>
          <w:color w:val="000000"/>
          <w:sz w:val="28"/>
        </w:rPr>
        <w:t>乙方應為飲料</w:t>
      </w:r>
      <w:r w:rsidR="00601767" w:rsidRPr="00990F95">
        <w:rPr>
          <w:rFonts w:ascii="標楷體" w:eastAsia="標楷體" w:hAnsi="標楷體" w:hint="eastAsia"/>
          <w:color w:val="000000"/>
          <w:sz w:val="28"/>
        </w:rPr>
        <w:t>及食品</w:t>
      </w:r>
      <w:r w:rsidR="00D739C6" w:rsidRPr="00990F95">
        <w:rPr>
          <w:rFonts w:ascii="標楷體" w:eastAsia="標楷體" w:hAnsi="標楷體" w:hint="eastAsia"/>
          <w:color w:val="000000"/>
          <w:sz w:val="28"/>
        </w:rPr>
        <w:t>自動販賣機具之實際經營主體，不得將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D739C6" w:rsidRPr="00990F95">
        <w:rPr>
          <w:rFonts w:ascii="標楷體" w:eastAsia="標楷體" w:hAnsi="標楷體" w:hint="eastAsia"/>
          <w:color w:val="000000"/>
          <w:sz w:val="28"/>
        </w:rPr>
        <w:t>或債權之部分或全部轉讓(租或售、借)第三人。但因公司合併、銀行或保險公司履行連帶保證、銀行實行權利質權或其他類似情形致有轉讓必要，經甲方同意者，不在此限。違約者，甲方得終止或解除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D739C6" w:rsidRPr="00990F95">
        <w:rPr>
          <w:rFonts w:ascii="標楷體" w:eastAsia="標楷體" w:hAnsi="標楷體" w:hint="eastAsia"/>
          <w:color w:val="000000"/>
          <w:sz w:val="28"/>
        </w:rPr>
        <w:t>。</w:t>
      </w:r>
    </w:p>
    <w:p w14:paraId="2D225470" w14:textId="77777777" w:rsidR="007F20BA" w:rsidRPr="00990F95" w:rsidRDefault="0077378D" w:rsidP="00C4664F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八</w:t>
      </w:r>
      <w:r w:rsidRPr="00990F95">
        <w:rPr>
          <w:rFonts w:ascii="標楷體" w:eastAsia="標楷體" w:hAnsi="標楷體" w:hint="eastAsia"/>
          <w:color w:val="000000"/>
          <w:sz w:val="28"/>
        </w:rPr>
        <w:t>條</w:t>
      </w:r>
      <w:r w:rsidR="006C2FD3" w:rsidRPr="00990F95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C4664F" w:rsidRPr="00990F95">
        <w:rPr>
          <w:rFonts w:ascii="標楷體" w:eastAsia="標楷體" w:hAnsi="標楷體" w:hint="eastAsia"/>
          <w:color w:val="000000"/>
          <w:sz w:val="28"/>
        </w:rPr>
        <w:t>經營項目：</w:t>
      </w:r>
    </w:p>
    <w:p w14:paraId="190E257B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（一）乙方販賣以鋁箔包</w:t>
      </w:r>
      <w:r w:rsidRPr="00990F95">
        <w:rPr>
          <w:rFonts w:ascii="標楷體" w:eastAsia="標楷體" w:hAnsi="標楷體"/>
          <w:color w:val="000000"/>
          <w:sz w:val="28"/>
        </w:rPr>
        <w:t>、</w:t>
      </w:r>
      <w:r w:rsidRPr="00990F95">
        <w:rPr>
          <w:rFonts w:ascii="標楷體" w:eastAsia="標楷體" w:hAnsi="標楷體" w:hint="eastAsia"/>
          <w:color w:val="000000"/>
          <w:sz w:val="28"/>
        </w:rPr>
        <w:t>鋁罐</w:t>
      </w:r>
      <w:r w:rsidRPr="00990F95">
        <w:rPr>
          <w:rFonts w:ascii="標楷體" w:eastAsia="標楷體" w:hAnsi="標楷體"/>
          <w:color w:val="000000"/>
          <w:sz w:val="28"/>
        </w:rPr>
        <w:t>、</w:t>
      </w:r>
      <w:r w:rsidRPr="00990F95">
        <w:rPr>
          <w:rFonts w:ascii="標楷體" w:eastAsia="標楷體" w:hAnsi="標楷體" w:hint="eastAsia"/>
          <w:color w:val="000000"/>
          <w:sz w:val="28"/>
        </w:rPr>
        <w:t>寶特瓶等飲料</w:t>
      </w:r>
      <w:r w:rsidR="00601767" w:rsidRPr="00990F95">
        <w:rPr>
          <w:rFonts w:ascii="標楷體" w:eastAsia="標楷體" w:hAnsi="標楷體" w:hint="eastAsia"/>
          <w:color w:val="000000"/>
          <w:sz w:val="28"/>
        </w:rPr>
        <w:t>及輕食、零食、泡麵等</w:t>
      </w:r>
      <w:r w:rsidRPr="00990F95">
        <w:rPr>
          <w:rFonts w:ascii="標楷體" w:eastAsia="標楷體" w:hAnsi="標楷體"/>
          <w:color w:val="000000"/>
          <w:sz w:val="28"/>
        </w:rPr>
        <w:t>，</w:t>
      </w:r>
      <w:r w:rsidRPr="00990F95">
        <w:rPr>
          <w:rFonts w:ascii="標楷體" w:eastAsia="標楷體" w:hAnsi="標楷體" w:hint="eastAsia"/>
          <w:color w:val="000000"/>
          <w:sz w:val="28"/>
        </w:rPr>
        <w:t>不得擺放任何形式種類之其他販賣物品，如香菸、檳榔、含酒精成分之飲料、違禁品、仿冒商標、偽標產地之物品、刀剪類危險物品、違反善良風俗物品、汙染清潔物品、空氣品質物品及其他非法商品。</w:t>
      </w:r>
    </w:p>
    <w:p w14:paraId="4EC09C86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（二）乙方販賣商品必須符合我國食品衛生檢驗標準與管理法規，且不得販售過期之商品。</w:t>
      </w:r>
    </w:p>
    <w:p w14:paraId="4E41AD66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（三）不得於本場地內外經營本身產品以外之廣告業。</w:t>
      </w:r>
    </w:p>
    <w:p w14:paraId="48A61166" w14:textId="77777777" w:rsidR="0027214E" w:rsidRPr="00990F95" w:rsidRDefault="0027214E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（四）自動販賣機銷售食品及飲料應符合財政部賦稅署110年10月22日台財稅字第11004647344號令之規定。</w:t>
      </w:r>
    </w:p>
    <w:p w14:paraId="25F64CC0" w14:textId="77777777" w:rsidR="00D24588" w:rsidRPr="00990F95" w:rsidRDefault="007F20BA" w:rsidP="00D24588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九</w:t>
      </w:r>
      <w:r w:rsidRPr="00990F95">
        <w:rPr>
          <w:rFonts w:ascii="標楷體" w:eastAsia="標楷體" w:hAnsi="標楷體" w:hint="eastAsia"/>
          <w:color w:val="000000"/>
          <w:sz w:val="28"/>
        </w:rPr>
        <w:t xml:space="preserve">條  </w:t>
      </w:r>
      <w:r w:rsidR="00D24588" w:rsidRPr="00990F95">
        <w:rPr>
          <w:rFonts w:ascii="標楷體" w:eastAsia="標楷體" w:hAnsi="標楷體" w:hint="eastAsia"/>
          <w:color w:val="000000"/>
          <w:sz w:val="28"/>
        </w:rPr>
        <w:t>乙方</w:t>
      </w:r>
      <w:r w:rsidR="00C4664F" w:rsidRPr="00990F95">
        <w:rPr>
          <w:rFonts w:ascii="標楷體" w:eastAsia="標楷體" w:hAnsi="標楷體" w:hint="eastAsia"/>
          <w:color w:val="000000"/>
          <w:sz w:val="28"/>
        </w:rPr>
        <w:t>營業行為或銷售之商品，如違反規定受主管機關處罰或損及使用者安全、健康或權益時，乙方應負一切法律責任及損害賠償。因乙方之營業行為或銷售服務致甲方遭受任何損壞或賠償時，應由乙方負責處理。</w:t>
      </w:r>
    </w:p>
    <w:p w14:paraId="74EB1B4B" w14:textId="77777777" w:rsidR="007F20BA" w:rsidRPr="00990F95" w:rsidRDefault="007F20BA" w:rsidP="00C4664F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sz w:val="28"/>
          <w:szCs w:val="28"/>
        </w:rPr>
      </w:pPr>
      <w:r w:rsidRPr="00990F95">
        <w:rPr>
          <w:rFonts w:ascii="標楷體" w:eastAsia="標楷體" w:hAnsi="標楷體" w:hint="eastAsia"/>
          <w:sz w:val="28"/>
        </w:rPr>
        <w:t>第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十</w:t>
      </w:r>
      <w:r w:rsidRPr="00990F95">
        <w:rPr>
          <w:rFonts w:ascii="標楷體" w:eastAsia="標楷體" w:hAnsi="標楷體" w:hint="eastAsia"/>
          <w:sz w:val="28"/>
        </w:rPr>
        <w:t xml:space="preserve">條  </w:t>
      </w:r>
      <w:r w:rsidR="00C4664F" w:rsidRPr="00990F95">
        <w:rPr>
          <w:rFonts w:ascii="標楷體" w:eastAsia="標楷體" w:hAnsi="標楷體" w:hint="eastAsia"/>
          <w:sz w:val="28"/>
          <w:szCs w:val="28"/>
        </w:rPr>
        <w:t>營業管理：</w:t>
      </w:r>
    </w:p>
    <w:p w14:paraId="7A82F943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sz w:val="28"/>
        </w:rPr>
      </w:pPr>
      <w:r w:rsidRPr="00990F95">
        <w:rPr>
          <w:rFonts w:ascii="標楷體" w:eastAsia="標楷體" w:hAnsi="標楷體" w:hint="eastAsia"/>
          <w:sz w:val="28"/>
        </w:rPr>
        <w:t>（一）甲方場所設置之乙方飲料</w:t>
      </w:r>
      <w:r w:rsidR="00601767" w:rsidRPr="00990F95">
        <w:rPr>
          <w:rFonts w:ascii="標楷體" w:eastAsia="標楷體" w:hAnsi="標楷體" w:hint="eastAsia"/>
          <w:sz w:val="28"/>
        </w:rPr>
        <w:t>及食品</w:t>
      </w:r>
      <w:r w:rsidRPr="00990F95">
        <w:rPr>
          <w:rFonts w:ascii="標楷體" w:eastAsia="標楷體" w:hAnsi="標楷體" w:hint="eastAsia"/>
          <w:sz w:val="28"/>
        </w:rPr>
        <w:t>自動販賣機如發現損壞、竊盜事故或其他異常狀況時，甲方應儘速通知乙方處理，甲方不負任何賠償責任。</w:t>
      </w:r>
    </w:p>
    <w:p w14:paraId="0DA18AA3" w14:textId="77777777" w:rsidR="0070544B" w:rsidRPr="00990F95" w:rsidRDefault="0070544B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sz w:val="28"/>
        </w:rPr>
      </w:pPr>
      <w:r w:rsidRPr="00990F95">
        <w:rPr>
          <w:rFonts w:ascii="標楷體" w:eastAsia="標楷體" w:hAnsi="標楷體" w:hint="eastAsia"/>
          <w:sz w:val="28"/>
        </w:rPr>
        <w:t>（二）乙方如因不可抗力之事件（故），如場所施工斷電、限電措施，或其他任何因素導致斷電所受之損失，應由乙方自行負責。</w:t>
      </w:r>
    </w:p>
    <w:p w14:paraId="0950361B" w14:textId="77777777" w:rsidR="0070544B" w:rsidRPr="00990F95" w:rsidRDefault="0070544B" w:rsidP="0070544B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sz w:val="28"/>
        </w:rPr>
      </w:pPr>
      <w:r w:rsidRPr="00990F95">
        <w:rPr>
          <w:rFonts w:ascii="標楷體" w:eastAsia="標楷體" w:hAnsi="標楷體" w:hint="eastAsia"/>
          <w:sz w:val="28"/>
        </w:rPr>
        <w:t>（三）甲方場所設置之乙方飲料</w:t>
      </w:r>
      <w:r w:rsidR="00601767" w:rsidRPr="00990F95">
        <w:rPr>
          <w:rFonts w:ascii="標楷體" w:eastAsia="標楷體" w:hAnsi="標楷體" w:hint="eastAsia"/>
          <w:sz w:val="28"/>
        </w:rPr>
        <w:t>及食品</w:t>
      </w:r>
      <w:r w:rsidRPr="00990F95">
        <w:rPr>
          <w:rFonts w:ascii="標楷體" w:eastAsia="標楷體" w:hAnsi="標楷體" w:hint="eastAsia"/>
          <w:sz w:val="28"/>
        </w:rPr>
        <w:t>自動販賣機除不可抗拒之情事及雙方另行約定者外，應全年開放營業。乙方無法全年開放營業時，應於更動前</w:t>
      </w:r>
      <w:r w:rsidRPr="00990F95">
        <w:rPr>
          <w:rFonts w:ascii="標楷體" w:eastAsia="標楷體" w:hAnsi="標楷體"/>
          <w:sz w:val="28"/>
        </w:rPr>
        <w:t>10</w:t>
      </w:r>
      <w:r w:rsidRPr="00990F95">
        <w:rPr>
          <w:rFonts w:ascii="標楷體" w:eastAsia="標楷體" w:hAnsi="標楷體" w:hint="eastAsia"/>
          <w:sz w:val="28"/>
        </w:rPr>
        <w:t>日以書面提請甲方同意後始得為之。</w:t>
      </w:r>
    </w:p>
    <w:p w14:paraId="653867B3" w14:textId="77777777" w:rsidR="00C4664F" w:rsidRPr="00990F95" w:rsidRDefault="0070544B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sz w:val="28"/>
        </w:rPr>
      </w:pPr>
      <w:r w:rsidRPr="00990F95">
        <w:rPr>
          <w:rFonts w:ascii="標楷體" w:eastAsia="標楷體" w:hAnsi="標楷體" w:hint="eastAsia"/>
          <w:sz w:val="28"/>
        </w:rPr>
        <w:t>（四）</w:t>
      </w:r>
      <w:r w:rsidR="00C4664F" w:rsidRPr="00990F95">
        <w:rPr>
          <w:rFonts w:ascii="標楷體" w:eastAsia="標楷體" w:hAnsi="標楷體" w:hint="eastAsia"/>
          <w:sz w:val="28"/>
        </w:rPr>
        <w:t>乙方於開始營業前須於飲料</w:t>
      </w:r>
      <w:r w:rsidR="00601767" w:rsidRPr="00990F95">
        <w:rPr>
          <w:rFonts w:ascii="標楷體" w:eastAsia="標楷體" w:hAnsi="標楷體" w:hint="eastAsia"/>
          <w:sz w:val="28"/>
        </w:rPr>
        <w:t>及食品</w:t>
      </w:r>
      <w:r w:rsidR="00C4664F" w:rsidRPr="00990F95">
        <w:rPr>
          <w:rFonts w:ascii="標楷體" w:eastAsia="標楷體" w:hAnsi="標楷體" w:hint="eastAsia"/>
          <w:sz w:val="28"/>
        </w:rPr>
        <w:t>自動販賣機之明顯處張貼使用方</w:t>
      </w:r>
      <w:r w:rsidR="00C4664F" w:rsidRPr="00990F95">
        <w:rPr>
          <w:rFonts w:ascii="標楷體" w:eastAsia="標楷體" w:hAnsi="標楷體" w:hint="eastAsia"/>
          <w:sz w:val="28"/>
        </w:rPr>
        <w:lastRenderedPageBreak/>
        <w:t>法、公司處理顧客投訴或意見反映電話、吃幣處理程序。</w:t>
      </w:r>
    </w:p>
    <w:p w14:paraId="3FEF1937" w14:textId="77777777" w:rsidR="00C4664F" w:rsidRPr="00990F95" w:rsidRDefault="0070544B" w:rsidP="0070544B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sz w:val="28"/>
        </w:rPr>
      </w:pPr>
      <w:r w:rsidRPr="00990F95">
        <w:rPr>
          <w:rFonts w:ascii="標楷體" w:eastAsia="標楷體" w:hAnsi="標楷體" w:hint="eastAsia"/>
          <w:sz w:val="28"/>
        </w:rPr>
        <w:t>（五）</w:t>
      </w:r>
      <w:r w:rsidR="00C4664F" w:rsidRPr="00990F95">
        <w:rPr>
          <w:rFonts w:ascii="標楷體" w:eastAsia="標楷體" w:hAnsi="標楷體" w:hint="eastAsia"/>
          <w:sz w:val="28"/>
        </w:rPr>
        <w:t>乙方所設置之機器如有故障及吃幣情事，經甲方通知後，乙方應於36小時內（遇假日順延之）前來修復，並歸還款項，逾10日仍未至甲方修復者，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C4664F" w:rsidRPr="00990F95">
        <w:rPr>
          <w:rFonts w:ascii="標楷體" w:eastAsia="標楷體" w:hAnsi="標楷體" w:hint="eastAsia"/>
          <w:sz w:val="28"/>
        </w:rPr>
        <w:t>視為終止。機器損壞1個月內無法修復時，應立即更新機器。</w:t>
      </w:r>
    </w:p>
    <w:p w14:paraId="52A72EFE" w14:textId="77777777" w:rsidR="00FB1CEF" w:rsidRPr="00990F95" w:rsidRDefault="00FB1CEF" w:rsidP="00C4664F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</w:t>
      </w:r>
      <w:r w:rsidR="008A49BE" w:rsidRPr="00990F95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143DB" w:rsidRPr="00990F9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990F95">
        <w:rPr>
          <w:rFonts w:ascii="標楷體" w:eastAsia="標楷體" w:hAnsi="標楷體" w:hint="eastAsia"/>
          <w:color w:val="000000"/>
          <w:sz w:val="28"/>
        </w:rPr>
        <w:t>條</w:t>
      </w:r>
      <w:r w:rsidR="006C2FD3" w:rsidRPr="00990F95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C4664F" w:rsidRPr="00990F95">
        <w:rPr>
          <w:rFonts w:ascii="標楷體" w:eastAsia="標楷體" w:hAnsi="標楷體" w:hint="eastAsia"/>
          <w:color w:val="000000"/>
          <w:sz w:val="28"/>
          <w:szCs w:val="28"/>
        </w:rPr>
        <w:t>經營規範：</w:t>
      </w:r>
    </w:p>
    <w:p w14:paraId="72C2A235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（一）本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設置飲料</w:t>
      </w:r>
      <w:r w:rsidR="00601767" w:rsidRPr="00990F95">
        <w:rPr>
          <w:rFonts w:ascii="標楷體" w:eastAsia="標楷體" w:hAnsi="標楷體" w:hint="eastAsia"/>
          <w:color w:val="000000"/>
          <w:sz w:val="28"/>
        </w:rPr>
        <w:t>及食品</w:t>
      </w:r>
      <w:r w:rsidRPr="00990F95">
        <w:rPr>
          <w:rFonts w:ascii="標楷體" w:eastAsia="標楷體" w:hAnsi="標楷體" w:hint="eastAsia"/>
          <w:color w:val="000000"/>
          <w:sz w:val="28"/>
        </w:rPr>
        <w:t>自動販賣機所需之安裝、維修、清潔、安全、經營管理等設備及費用概由乙方負擔，並應接受甲方之督導。</w:t>
      </w:r>
    </w:p>
    <w:p w14:paraId="2FD5C696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二）乙方所擺設之位置週邊，應善盡管理人之義務，不得供非法使用或存放危險物品或物品，影響公共安全，如因過失致甲方建築物毀損，應即回復原狀及賠償甲方損失，租賃之區域因自然之損壞有修繕之必要時，由甲方負責修理。</w:t>
      </w:r>
    </w:p>
    <w:p w14:paraId="373041BC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（三）乙方所設之飲料</w:t>
      </w:r>
      <w:r w:rsidR="00601767" w:rsidRPr="00990F95">
        <w:rPr>
          <w:rFonts w:ascii="標楷體" w:eastAsia="標楷體" w:hAnsi="標楷體" w:hint="eastAsia"/>
          <w:color w:val="000000"/>
          <w:sz w:val="28"/>
        </w:rPr>
        <w:t>及食品</w:t>
      </w:r>
      <w:r w:rsidRPr="00990F95">
        <w:rPr>
          <w:rFonts w:ascii="標楷體" w:eastAsia="標楷體" w:hAnsi="標楷體" w:hint="eastAsia"/>
          <w:color w:val="000000"/>
          <w:sz w:val="28"/>
        </w:rPr>
        <w:t>自動販賣機應加以</w:t>
      </w:r>
      <w:r w:rsidR="007B0B1A" w:rsidRPr="00990F95">
        <w:rPr>
          <w:rFonts w:ascii="標楷體" w:eastAsia="標楷體" w:hAnsi="標楷體" w:hint="eastAsia"/>
          <w:color w:val="000000"/>
          <w:sz w:val="28"/>
        </w:rPr>
        <w:t>防震</w:t>
      </w:r>
      <w:r w:rsidRPr="00990F95">
        <w:rPr>
          <w:rFonts w:ascii="標楷體" w:eastAsia="標楷體" w:hAnsi="標楷體" w:hint="eastAsia"/>
          <w:color w:val="000000"/>
          <w:sz w:val="28"/>
        </w:rPr>
        <w:t>固定並為其他必要之安全措施，如因飲料自動販賣機致第三人遭受損害，乙方應負賠償責任，如經通知乙方仍不為處理者，甲方得據以終止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。</w:t>
      </w:r>
    </w:p>
    <w:p w14:paraId="51568996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（四）甲方因政策需要辦理搬遷時，乙方應無條件配合，並依甲方通知日起7日內完成機台遷移。</w:t>
      </w:r>
    </w:p>
    <w:p w14:paraId="7FE9137C" w14:textId="77777777" w:rsidR="0070544B" w:rsidRPr="00990F95" w:rsidRDefault="00C4664F" w:rsidP="0070544B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（五）非經甲方許可，乙方不得擅自更換飲料</w:t>
      </w:r>
      <w:r w:rsidR="00601767" w:rsidRPr="00990F95">
        <w:rPr>
          <w:rFonts w:ascii="標楷體" w:eastAsia="標楷體" w:hAnsi="標楷體" w:hint="eastAsia"/>
          <w:color w:val="000000"/>
          <w:sz w:val="28"/>
        </w:rPr>
        <w:t>及食品</w:t>
      </w:r>
      <w:r w:rsidRPr="00990F95">
        <w:rPr>
          <w:rFonts w:ascii="標楷體" w:eastAsia="標楷體" w:hAnsi="標楷體" w:hint="eastAsia"/>
          <w:color w:val="000000"/>
          <w:sz w:val="28"/>
        </w:rPr>
        <w:t>自動販賣機設備或增設其他設備。</w:t>
      </w:r>
    </w:p>
    <w:p w14:paraId="2B9D6DA4" w14:textId="77777777" w:rsidR="00155D57" w:rsidRPr="00990F95" w:rsidRDefault="00155D57" w:rsidP="00155D57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（六）</w:t>
      </w:r>
      <w:r w:rsidRPr="00D9592B">
        <w:rPr>
          <w:rFonts w:ascii="標楷體" w:eastAsia="標楷體" w:hAnsi="標楷體" w:hint="eastAsia"/>
          <w:color w:val="000000"/>
          <w:sz w:val="28"/>
        </w:rPr>
        <w:t>乙方不得將甲方提供場地之全部或一部轉讓、轉借、轉租、分租、變更用途或委託經營或與他人合作經營或再提供第三人使用。</w:t>
      </w:r>
    </w:p>
    <w:p w14:paraId="5183EE24" w14:textId="77777777" w:rsidR="007F20BA" w:rsidRPr="00990F95" w:rsidRDefault="007F20BA" w:rsidP="006C2FD3">
      <w:pPr>
        <w:pStyle w:val="a7"/>
        <w:spacing w:afterLines="50" w:after="120" w:line="36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6C2FD3" w:rsidRPr="00990F95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二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 xml:space="preserve">條  </w:t>
      </w:r>
      <w:r w:rsidR="00C4664F" w:rsidRPr="00990F95">
        <w:rPr>
          <w:rFonts w:ascii="標楷體" w:eastAsia="標楷體" w:hAnsi="標楷體" w:hint="eastAsia"/>
          <w:color w:val="000000"/>
          <w:sz w:val="28"/>
          <w:szCs w:val="28"/>
        </w:rPr>
        <w:t>回復原狀：</w:t>
      </w:r>
    </w:p>
    <w:p w14:paraId="4D53B272" w14:textId="77777777" w:rsidR="0072211B" w:rsidRPr="00990F95" w:rsidRDefault="00C4664F" w:rsidP="00DD78A0">
      <w:pPr>
        <w:snapToGrid w:val="0"/>
        <w:spacing w:line="500" w:lineRule="exact"/>
        <w:ind w:leftChars="590" w:left="1418" w:hanging="2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乙方應於本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消滅（包含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原定期間屆滿及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提前終止等）時停止營業，並於本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消滅之翌日起10日內將本場地回復原狀返還甲方，並將其所有一切物品搬離，否則甲方均以廢棄物處理，乙方不得要求賠償或提出異議，甲方所處理之費用，由乙方負擔，甲方得另予追償。</w:t>
      </w:r>
    </w:p>
    <w:p w14:paraId="1EF19150" w14:textId="77777777" w:rsidR="0072211B" w:rsidRPr="00990F95" w:rsidRDefault="0072211B" w:rsidP="00DD78A0">
      <w:pPr>
        <w:snapToGrid w:val="0"/>
        <w:spacing w:line="500" w:lineRule="exact"/>
        <w:ind w:left="1417" w:hangingChars="506" w:hanging="1417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第十</w:t>
      </w:r>
      <w:r w:rsidR="006143DB" w:rsidRPr="00990F9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990F95">
        <w:rPr>
          <w:rFonts w:ascii="標楷體" w:eastAsia="標楷體" w:hAnsi="標楷體" w:hint="eastAsia"/>
          <w:color w:val="000000"/>
          <w:sz w:val="28"/>
        </w:rPr>
        <w:t>條  本契約所稱之違約金係指懲罰性違約金。無論</w:t>
      </w:r>
      <w:r w:rsidR="009F3BD2" w:rsidRPr="00990F95">
        <w:rPr>
          <w:rFonts w:ascii="標楷體" w:eastAsia="標楷體" w:hAnsi="標楷體" w:hint="eastAsia"/>
          <w:color w:val="000000"/>
          <w:sz w:val="28"/>
        </w:rPr>
        <w:t>甲方</w:t>
      </w:r>
      <w:r w:rsidRPr="00990F95">
        <w:rPr>
          <w:rFonts w:ascii="標楷體" w:eastAsia="標楷體" w:hAnsi="標楷體" w:hint="eastAsia"/>
          <w:color w:val="000000"/>
          <w:sz w:val="28"/>
        </w:rPr>
        <w:t>是否受有損害，</w:t>
      </w:r>
      <w:r w:rsidR="009F3BD2" w:rsidRPr="00990F95">
        <w:rPr>
          <w:rFonts w:ascii="標楷體" w:eastAsia="標楷體" w:hAnsi="標楷體" w:hint="eastAsia"/>
          <w:color w:val="000000"/>
          <w:sz w:val="28"/>
        </w:rPr>
        <w:t>乙方</w:t>
      </w:r>
      <w:r w:rsidRPr="00990F95">
        <w:rPr>
          <w:rFonts w:ascii="標楷體" w:eastAsia="標楷體" w:hAnsi="標楷體" w:hint="eastAsia"/>
          <w:color w:val="000000"/>
          <w:sz w:val="28"/>
        </w:rPr>
        <w:t>均應依約繳交違約金。</w:t>
      </w:r>
      <w:r w:rsidR="009F3BD2" w:rsidRPr="00990F95">
        <w:rPr>
          <w:rFonts w:ascii="標楷體" w:eastAsia="標楷體" w:hAnsi="標楷體" w:hint="eastAsia"/>
          <w:color w:val="000000"/>
          <w:sz w:val="28"/>
        </w:rPr>
        <w:t>甲方</w:t>
      </w:r>
      <w:r w:rsidRPr="00990F95">
        <w:rPr>
          <w:rFonts w:ascii="標楷體" w:eastAsia="標楷體" w:hAnsi="標楷體" w:hint="eastAsia"/>
          <w:color w:val="000000"/>
          <w:sz w:val="28"/>
        </w:rPr>
        <w:t>如因</w:t>
      </w:r>
      <w:r w:rsidR="009F3BD2" w:rsidRPr="00990F95">
        <w:rPr>
          <w:rFonts w:ascii="標楷體" w:eastAsia="標楷體" w:hAnsi="標楷體" w:hint="eastAsia"/>
          <w:color w:val="000000"/>
          <w:sz w:val="28"/>
        </w:rPr>
        <w:t>乙方</w:t>
      </w:r>
      <w:r w:rsidRPr="00990F95">
        <w:rPr>
          <w:rFonts w:ascii="標楷體" w:eastAsia="標楷體" w:hAnsi="標楷體" w:hint="eastAsia"/>
          <w:color w:val="000000"/>
          <w:sz w:val="28"/>
        </w:rPr>
        <w:t>之違約情事受有損害，並得另行向</w:t>
      </w:r>
      <w:r w:rsidR="009F3BD2" w:rsidRPr="00990F95">
        <w:rPr>
          <w:rFonts w:ascii="標楷體" w:eastAsia="標楷體" w:hAnsi="標楷體" w:hint="eastAsia"/>
          <w:color w:val="000000"/>
          <w:sz w:val="28"/>
        </w:rPr>
        <w:t>乙方</w:t>
      </w:r>
      <w:r w:rsidRPr="00990F95">
        <w:rPr>
          <w:rFonts w:ascii="標楷體" w:eastAsia="標楷體" w:hAnsi="標楷體" w:hint="eastAsia"/>
          <w:color w:val="000000"/>
          <w:sz w:val="28"/>
        </w:rPr>
        <w:t>追償。</w:t>
      </w:r>
    </w:p>
    <w:p w14:paraId="346071FF" w14:textId="77777777" w:rsidR="00D734CA" w:rsidRPr="00990F95" w:rsidRDefault="0072211B" w:rsidP="00D734CA">
      <w:pPr>
        <w:pStyle w:val="a7"/>
        <w:spacing w:afterLines="50" w:after="120" w:line="36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第十</w:t>
      </w:r>
      <w:r w:rsidR="006143DB" w:rsidRPr="00990F9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="00D734CA" w:rsidRPr="00990F95">
        <w:rPr>
          <w:rFonts w:ascii="標楷體" w:eastAsia="標楷體" w:hAnsi="標楷體" w:hint="eastAsia"/>
          <w:color w:val="000000"/>
          <w:sz w:val="28"/>
          <w:szCs w:val="28"/>
        </w:rPr>
        <w:t xml:space="preserve">  罰則：</w:t>
      </w:r>
    </w:p>
    <w:p w14:paraId="7302057F" w14:textId="77777777" w:rsidR="002F3FB4" w:rsidRPr="00990F95" w:rsidRDefault="00D734CA" w:rsidP="00D734CA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lastRenderedPageBreak/>
        <w:t>（一）</w:t>
      </w:r>
      <w:r w:rsidR="002F3FB4" w:rsidRPr="00990F95">
        <w:rPr>
          <w:rFonts w:ascii="標楷體" w:eastAsia="標楷體" w:hAnsi="標楷體" w:hint="eastAsia"/>
          <w:color w:val="000000"/>
          <w:sz w:val="28"/>
        </w:rPr>
        <w:t>乙方</w:t>
      </w:r>
      <w:r w:rsidR="002F3FB4" w:rsidRPr="00990F95">
        <w:rPr>
          <w:rFonts w:ascii="標楷體" w:eastAsia="標楷體" w:hAnsi="標楷體" w:hint="eastAsia"/>
          <w:color w:val="000000"/>
          <w:sz w:val="28"/>
          <w:szCs w:val="28"/>
        </w:rPr>
        <w:t>違反本契約第</w:t>
      </w:r>
      <w:r w:rsidR="008A49BE" w:rsidRPr="00990F95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2F3FB4" w:rsidRPr="00990F95">
        <w:rPr>
          <w:rFonts w:ascii="標楷體" w:eastAsia="標楷體" w:hAnsi="標楷體" w:hint="eastAsia"/>
          <w:color w:val="000000"/>
          <w:sz w:val="28"/>
          <w:szCs w:val="28"/>
        </w:rPr>
        <w:t>條規定者，按次給付新臺幣</w:t>
      </w:r>
      <w:r w:rsidR="002F3FB4" w:rsidRPr="00990F95">
        <w:rPr>
          <w:rFonts w:ascii="標楷體" w:eastAsia="標楷體" w:hAnsi="標楷體"/>
          <w:color w:val="000000"/>
          <w:sz w:val="28"/>
          <w:szCs w:val="28"/>
        </w:rPr>
        <w:t xml:space="preserve">1,000 </w:t>
      </w:r>
      <w:r w:rsidR="002F3FB4" w:rsidRPr="00990F95">
        <w:rPr>
          <w:rFonts w:ascii="標楷體" w:eastAsia="標楷體" w:hAnsi="標楷體" w:hint="eastAsia"/>
          <w:color w:val="000000"/>
          <w:sz w:val="28"/>
          <w:szCs w:val="28"/>
        </w:rPr>
        <w:t>元整；經處罰違約金仍不改善者，得連續處罰。</w:t>
      </w:r>
    </w:p>
    <w:p w14:paraId="2F99CC61" w14:textId="77777777" w:rsidR="00D734CA" w:rsidRPr="00990F95" w:rsidRDefault="00D734CA" w:rsidP="00D734CA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（二）</w:t>
      </w:r>
      <w:r w:rsidR="002F3FB4" w:rsidRPr="00990F95">
        <w:rPr>
          <w:rFonts w:ascii="標楷體" w:eastAsia="標楷體" w:hAnsi="標楷體" w:hint="eastAsia"/>
          <w:color w:val="000000"/>
          <w:sz w:val="28"/>
        </w:rPr>
        <w:t>乙方</w:t>
      </w:r>
      <w:r w:rsidR="002F3FB4" w:rsidRPr="00990F95">
        <w:rPr>
          <w:rFonts w:ascii="標楷體" w:eastAsia="標楷體" w:hAnsi="標楷體" w:hint="eastAsia"/>
          <w:color w:val="000000"/>
          <w:sz w:val="28"/>
          <w:szCs w:val="28"/>
        </w:rPr>
        <w:t>違反本契約第</w:t>
      </w:r>
      <w:r w:rsidR="008A49BE" w:rsidRPr="00990F95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2F3FB4" w:rsidRPr="00990F95">
        <w:rPr>
          <w:rFonts w:ascii="標楷體" w:eastAsia="標楷體" w:hAnsi="標楷體" w:hint="eastAsia"/>
          <w:color w:val="000000"/>
          <w:sz w:val="28"/>
          <w:szCs w:val="28"/>
        </w:rPr>
        <w:t>條、第</w:t>
      </w:r>
      <w:r w:rsidR="008A49BE" w:rsidRPr="00990F95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F3FB4" w:rsidRPr="00990F95">
        <w:rPr>
          <w:rFonts w:ascii="標楷體" w:eastAsia="標楷體" w:hAnsi="標楷體" w:hint="eastAsia"/>
          <w:color w:val="000000"/>
          <w:sz w:val="28"/>
          <w:szCs w:val="28"/>
        </w:rPr>
        <w:t>條規定事項，按次給付新臺幣</w:t>
      </w:r>
      <w:r w:rsidR="002F3FB4" w:rsidRPr="00990F95">
        <w:rPr>
          <w:rFonts w:ascii="標楷體" w:eastAsia="標楷體" w:hAnsi="標楷體"/>
          <w:color w:val="000000"/>
          <w:sz w:val="28"/>
          <w:szCs w:val="28"/>
        </w:rPr>
        <w:t>500</w:t>
      </w:r>
      <w:r w:rsidR="002F3FB4" w:rsidRPr="00990F95">
        <w:rPr>
          <w:rFonts w:ascii="標楷體" w:eastAsia="標楷體" w:hAnsi="標楷體" w:hint="eastAsia"/>
          <w:color w:val="000000"/>
          <w:sz w:val="28"/>
          <w:szCs w:val="28"/>
        </w:rPr>
        <w:t>元整；經處罰違約金仍不改善者，得連續處罰。</w:t>
      </w:r>
    </w:p>
    <w:p w14:paraId="3A4266CD" w14:textId="77777777" w:rsidR="002F3FB4" w:rsidRPr="00990F95" w:rsidRDefault="002F3FB4" w:rsidP="00D734CA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（三）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前項所罰之違約金累計不超出契約總價款</w:t>
      </w:r>
      <w:r w:rsidR="00404060" w:rsidRPr="00990F95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744A1D" w:rsidRPr="00990F95">
        <w:rPr>
          <w:rFonts w:ascii="標楷體" w:eastAsia="標楷體" w:hAnsi="標楷體" w:hint="eastAsia"/>
          <w:color w:val="000000"/>
          <w:sz w:val="28"/>
          <w:szCs w:val="28"/>
        </w:rPr>
        <w:t>%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為限，若所罰之違約金累計已</w:t>
      </w:r>
      <w:r w:rsidR="00744A1D" w:rsidRPr="00990F95">
        <w:rPr>
          <w:rFonts w:ascii="標楷體" w:eastAsia="標楷體" w:hAnsi="標楷體" w:hint="eastAsia"/>
          <w:color w:val="000000"/>
          <w:sz w:val="28"/>
          <w:szCs w:val="28"/>
        </w:rPr>
        <w:t>達契約總價款</w:t>
      </w:r>
      <w:r w:rsidR="00404060" w:rsidRPr="00990F95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744A1D" w:rsidRPr="00990F95">
        <w:rPr>
          <w:rFonts w:ascii="標楷體" w:eastAsia="標楷體" w:hAnsi="標楷體" w:hint="eastAsia"/>
          <w:color w:val="000000"/>
          <w:sz w:val="28"/>
          <w:szCs w:val="28"/>
        </w:rPr>
        <w:t>%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（含以上），甲方得終止契約，</w:t>
      </w:r>
      <w:r w:rsidRPr="00990F95">
        <w:rPr>
          <w:rFonts w:ascii="標楷體" w:eastAsia="標楷體" w:hAnsi="標楷體" w:hint="eastAsia"/>
          <w:color w:val="000000"/>
          <w:sz w:val="28"/>
        </w:rPr>
        <w:t>乙方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已繳之租金不予發還，</w:t>
      </w:r>
      <w:r w:rsidRPr="00990F95">
        <w:rPr>
          <w:rFonts w:ascii="標楷體" w:eastAsia="標楷體" w:hAnsi="標楷體" w:hint="eastAsia"/>
          <w:color w:val="000000"/>
          <w:sz w:val="28"/>
        </w:rPr>
        <w:t>乙方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不得異議。</w:t>
      </w:r>
    </w:p>
    <w:p w14:paraId="206E9DD7" w14:textId="77777777" w:rsidR="007F20BA" w:rsidRPr="00990F95" w:rsidRDefault="007F20BA" w:rsidP="006C2FD3">
      <w:pPr>
        <w:pStyle w:val="a7"/>
        <w:spacing w:afterLines="50" w:after="120" w:line="360" w:lineRule="exact"/>
        <w:ind w:left="1134" w:hangingChars="405" w:hanging="113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72211B" w:rsidRPr="00990F95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五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 xml:space="preserve">條　</w:t>
      </w:r>
      <w:r w:rsidR="00C4664F" w:rsidRPr="00990F95">
        <w:rPr>
          <w:rFonts w:ascii="標楷體" w:eastAsia="標楷體" w:hAnsi="標楷體" w:hint="eastAsia"/>
          <w:color w:val="000000"/>
          <w:sz w:val="28"/>
          <w:szCs w:val="28"/>
        </w:rPr>
        <w:t>乙方有下列情形之一，甲方得終止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C4664F" w:rsidRPr="00990F95">
        <w:rPr>
          <w:rFonts w:ascii="標楷體" w:eastAsia="標楷體" w:hAnsi="標楷體" w:hint="eastAsia"/>
          <w:color w:val="000000"/>
          <w:sz w:val="28"/>
          <w:szCs w:val="28"/>
        </w:rPr>
        <w:t>，乙方不得異議。</w:t>
      </w:r>
    </w:p>
    <w:p w14:paraId="4EAA1300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（一）違反政府有關法令或政策者。</w:t>
      </w:r>
    </w:p>
    <w:p w14:paraId="6DA7D54B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（二）偽造或變造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Pr="00990F95">
        <w:rPr>
          <w:rFonts w:ascii="標楷體" w:eastAsia="標楷體" w:hAnsi="標楷體" w:hint="eastAsia"/>
          <w:color w:val="000000"/>
          <w:sz w:val="28"/>
        </w:rPr>
        <w:t>或履約相關文件，經查明屬實者。</w:t>
      </w:r>
    </w:p>
    <w:p w14:paraId="5AAE8678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（三）因維護不良或經營不善，如繼續營業，足以影響公共安全秩序者。</w:t>
      </w:r>
    </w:p>
    <w:p w14:paraId="74699CE8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（四）受強制執行、破產之宣告或解散者。</w:t>
      </w:r>
    </w:p>
    <w:p w14:paraId="12B55F07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（五）遭行政機關吊銷立案證明或公司營業登記者。</w:t>
      </w:r>
    </w:p>
    <w:p w14:paraId="530B5500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（六）私自轉讓他人經營或冒用他人名義登記公司行號者。</w:t>
      </w:r>
    </w:p>
    <w:p w14:paraId="74C8C972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（七）</w:t>
      </w:r>
      <w:r w:rsidR="00155D57" w:rsidRPr="00990F95">
        <w:rPr>
          <w:rFonts w:ascii="標楷體" w:eastAsia="標楷體" w:hAnsi="標楷體" w:hint="eastAsia"/>
          <w:color w:val="000000"/>
          <w:sz w:val="28"/>
        </w:rPr>
        <w:t>簽約後無故不履行</w:t>
      </w:r>
      <w:r w:rsidR="00155D57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155D57" w:rsidRPr="00990F95">
        <w:rPr>
          <w:rFonts w:ascii="標楷體" w:eastAsia="標楷體" w:hAnsi="標楷體" w:hint="eastAsia"/>
          <w:color w:val="000000"/>
          <w:sz w:val="28"/>
        </w:rPr>
        <w:t>者。</w:t>
      </w:r>
    </w:p>
    <w:p w14:paraId="55E5228F" w14:textId="77777777" w:rsidR="00C4664F" w:rsidRPr="00990F95" w:rsidRDefault="00C4664F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（八）</w:t>
      </w:r>
      <w:r w:rsidR="00155D57" w:rsidRPr="00990F95">
        <w:rPr>
          <w:rFonts w:ascii="標楷體" w:eastAsia="標楷體" w:hAnsi="標楷體" w:hint="eastAsia"/>
          <w:color w:val="000000"/>
          <w:sz w:val="28"/>
        </w:rPr>
        <w:t>經甲方</w:t>
      </w:r>
      <w:r w:rsidR="00155D57" w:rsidRPr="00990F95">
        <w:rPr>
          <w:rFonts w:ascii="標楷體" w:eastAsia="標楷體" w:hAnsi="標楷體"/>
          <w:color w:val="000000"/>
          <w:sz w:val="28"/>
        </w:rPr>
        <w:t>3</w:t>
      </w:r>
      <w:r w:rsidR="00155D57" w:rsidRPr="00990F95">
        <w:rPr>
          <w:rFonts w:ascii="標楷體" w:eastAsia="標楷體" w:hAnsi="標楷體" w:hint="eastAsia"/>
          <w:color w:val="000000"/>
          <w:sz w:val="28"/>
        </w:rPr>
        <w:t>次書面通知乙方限期繳交違約金，逾期未繳交者。</w:t>
      </w:r>
    </w:p>
    <w:p w14:paraId="526BA370" w14:textId="77777777" w:rsidR="00AC4488" w:rsidRPr="00990F95" w:rsidRDefault="00AC4488" w:rsidP="00C4664F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（九）</w:t>
      </w:r>
      <w:r w:rsidR="00155D57" w:rsidRPr="00990F95">
        <w:rPr>
          <w:rFonts w:ascii="標楷體" w:eastAsia="標楷體" w:hAnsi="標楷體" w:hint="eastAsia"/>
          <w:color w:val="000000"/>
          <w:sz w:val="28"/>
        </w:rPr>
        <w:t>經甲方3次書面通知改善違約情事，而未改善者。</w:t>
      </w:r>
    </w:p>
    <w:p w14:paraId="0669D137" w14:textId="77777777" w:rsidR="007F20BA" w:rsidRPr="00990F95" w:rsidRDefault="00C4664F" w:rsidP="002F3FB4">
      <w:pPr>
        <w:snapToGrid w:val="0"/>
        <w:spacing w:line="500" w:lineRule="exact"/>
        <w:ind w:leftChars="473" w:left="1983" w:hangingChars="303" w:hanging="848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（</w:t>
      </w:r>
      <w:r w:rsidR="00AC4488" w:rsidRPr="00990F95">
        <w:rPr>
          <w:rFonts w:ascii="標楷體" w:eastAsia="標楷體" w:hAnsi="標楷體" w:hint="eastAsia"/>
          <w:color w:val="000000"/>
          <w:sz w:val="28"/>
        </w:rPr>
        <w:t>十</w:t>
      </w:r>
      <w:r w:rsidRPr="00990F95">
        <w:rPr>
          <w:rFonts w:ascii="標楷體" w:eastAsia="標楷體" w:hAnsi="標楷體" w:hint="eastAsia"/>
          <w:color w:val="000000"/>
          <w:sz w:val="28"/>
        </w:rPr>
        <w:t>）</w:t>
      </w:r>
      <w:r w:rsidR="00155D57" w:rsidRPr="00990F95">
        <w:rPr>
          <w:rFonts w:ascii="標楷體" w:eastAsia="標楷體" w:hAnsi="標楷體" w:hint="eastAsia"/>
          <w:color w:val="000000"/>
          <w:sz w:val="28"/>
        </w:rPr>
        <w:t>積欠租金達</w:t>
      </w:r>
      <w:r w:rsidR="00155D57" w:rsidRPr="00990F95">
        <w:rPr>
          <w:rFonts w:ascii="標楷體" w:eastAsia="標楷體" w:hAnsi="標楷體" w:cs="Courier New"/>
          <w:sz w:val="28"/>
          <w:szCs w:val="28"/>
        </w:rPr>
        <w:t>30</w:t>
      </w:r>
      <w:r w:rsidR="00155D57" w:rsidRPr="00990F95">
        <w:rPr>
          <w:rFonts w:ascii="標楷體" w:eastAsia="標楷體" w:hAnsi="標楷體" w:hint="eastAsia"/>
          <w:sz w:val="28"/>
          <w:szCs w:val="28"/>
        </w:rPr>
        <w:t>日</w:t>
      </w:r>
      <w:r w:rsidR="00155D57" w:rsidRPr="00990F95">
        <w:rPr>
          <w:rFonts w:ascii="標楷體" w:eastAsia="標楷體" w:hAnsi="標楷體" w:hint="eastAsia"/>
          <w:color w:val="000000"/>
          <w:sz w:val="28"/>
        </w:rPr>
        <w:t>以上者。</w:t>
      </w:r>
    </w:p>
    <w:p w14:paraId="248BD012" w14:textId="77777777" w:rsidR="007F20BA" w:rsidRPr="00990F95" w:rsidRDefault="007F20BA" w:rsidP="00DD78A0">
      <w:pPr>
        <w:snapToGrid w:val="0"/>
        <w:spacing w:line="500" w:lineRule="exact"/>
        <w:ind w:left="1411" w:hangingChars="504" w:hanging="1411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</w:t>
      </w:r>
      <w:r w:rsidR="0072211B" w:rsidRPr="00990F95">
        <w:rPr>
          <w:rFonts w:ascii="標楷體" w:eastAsia="標楷體" w:hAnsi="標楷體" w:hint="eastAsia"/>
          <w:color w:val="000000"/>
          <w:sz w:val="28"/>
        </w:rPr>
        <w:t>十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六</w:t>
      </w:r>
      <w:r w:rsidRPr="00990F95">
        <w:rPr>
          <w:rFonts w:ascii="標楷體" w:eastAsia="標楷體" w:hAnsi="標楷體" w:hint="eastAsia"/>
          <w:color w:val="000000"/>
          <w:sz w:val="28"/>
        </w:rPr>
        <w:t>條</w:t>
      </w:r>
      <w:r w:rsidR="006C2FD3" w:rsidRPr="00990F95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C4664F" w:rsidRPr="00990F95">
        <w:rPr>
          <w:rFonts w:ascii="標楷體" w:eastAsia="標楷體" w:hAnsi="標楷體" w:hint="eastAsia"/>
          <w:color w:val="000000"/>
          <w:sz w:val="28"/>
        </w:rPr>
        <w:t>甲方因政策變更得終止租約或變更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C4664F" w:rsidRPr="00990F95">
        <w:rPr>
          <w:rFonts w:ascii="標楷體" w:eastAsia="標楷體" w:hAnsi="標楷體" w:hint="eastAsia"/>
          <w:color w:val="000000"/>
          <w:sz w:val="28"/>
        </w:rPr>
        <w:t>標的，應於１個月前知會乙方，乙方不得異議。</w:t>
      </w:r>
    </w:p>
    <w:p w14:paraId="22BA1902" w14:textId="77777777" w:rsidR="00D24588" w:rsidRPr="00990F95" w:rsidRDefault="00D24588" w:rsidP="00DD78A0">
      <w:pPr>
        <w:snapToGrid w:val="0"/>
        <w:spacing w:line="500" w:lineRule="exact"/>
        <w:ind w:left="1411" w:hangingChars="504" w:hanging="1411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第十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七</w:t>
      </w:r>
      <w:r w:rsidRPr="00990F95">
        <w:rPr>
          <w:rFonts w:ascii="標楷體" w:eastAsia="標楷體" w:hAnsi="標楷體" w:hint="eastAsia"/>
          <w:color w:val="000000"/>
          <w:sz w:val="28"/>
        </w:rPr>
        <w:t xml:space="preserve">條  </w:t>
      </w:r>
      <w:r w:rsidRPr="00990F95">
        <w:rPr>
          <w:rFonts w:ascii="標楷體" w:eastAsia="標楷體" w:hAnsi="標楷體" w:hint="eastAsia"/>
          <w:color w:val="000000"/>
          <w:sz w:val="28"/>
          <w:szCs w:val="28"/>
        </w:rPr>
        <w:t>乙方</w:t>
      </w:r>
      <w:r w:rsidRPr="00990F95">
        <w:rPr>
          <w:rFonts w:ascii="標楷體" w:eastAsia="標楷體" w:hAnsi="標楷體" w:hint="eastAsia"/>
          <w:color w:val="000000"/>
          <w:sz w:val="28"/>
        </w:rPr>
        <w:t>因第</w:t>
      </w:r>
      <w:r w:rsidRPr="00990F95">
        <w:rPr>
          <w:rFonts w:ascii="標楷體" w:eastAsia="標楷體" w:hAnsi="標楷體"/>
          <w:color w:val="000000"/>
          <w:sz w:val="28"/>
        </w:rPr>
        <w:t>1</w:t>
      </w:r>
      <w:r w:rsidR="00DD4C15" w:rsidRPr="00990F95">
        <w:rPr>
          <w:rFonts w:ascii="標楷體" w:eastAsia="標楷體" w:hAnsi="標楷體"/>
          <w:color w:val="000000"/>
          <w:sz w:val="28"/>
        </w:rPr>
        <w:t>4</w:t>
      </w:r>
      <w:r w:rsidRPr="00990F95">
        <w:rPr>
          <w:rFonts w:ascii="標楷體" w:eastAsia="標楷體" w:hAnsi="標楷體"/>
          <w:color w:val="000000"/>
          <w:sz w:val="28"/>
        </w:rPr>
        <w:t xml:space="preserve"> </w:t>
      </w:r>
      <w:r w:rsidRPr="00990F95">
        <w:rPr>
          <w:rFonts w:ascii="標楷體" w:eastAsia="標楷體" w:hAnsi="標楷體" w:hint="eastAsia"/>
          <w:color w:val="000000"/>
          <w:sz w:val="28"/>
        </w:rPr>
        <w:t>條終止契約，於甲方為本場地另辦招標之同一標案時，不得參加投標。</w:t>
      </w:r>
    </w:p>
    <w:p w14:paraId="585E2CBB" w14:textId="77777777" w:rsidR="00D24588" w:rsidRPr="00990F95" w:rsidRDefault="007F20BA" w:rsidP="00D24588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 w:hint="eastAsia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</w:t>
      </w:r>
      <w:r w:rsidR="0072211B" w:rsidRPr="00990F95">
        <w:rPr>
          <w:rFonts w:ascii="標楷體" w:eastAsia="標楷體" w:hAnsi="標楷體" w:hint="eastAsia"/>
          <w:color w:val="000000"/>
          <w:sz w:val="28"/>
        </w:rPr>
        <w:t>十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八</w:t>
      </w:r>
      <w:r w:rsidRPr="00990F95">
        <w:rPr>
          <w:rFonts w:ascii="標楷體" w:eastAsia="標楷體" w:hAnsi="標楷體" w:hint="eastAsia"/>
          <w:color w:val="000000"/>
          <w:sz w:val="28"/>
        </w:rPr>
        <w:t>條</w:t>
      </w:r>
      <w:r w:rsidR="006C2FD3" w:rsidRPr="00990F95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D24588" w:rsidRPr="00990F95">
        <w:rPr>
          <w:rFonts w:ascii="標楷體" w:eastAsia="標楷體" w:hAnsi="標楷體" w:hint="eastAsia"/>
          <w:color w:val="000000"/>
          <w:sz w:val="28"/>
        </w:rPr>
        <w:t>如因本契約涉訟</w:t>
      </w:r>
      <w:r w:rsidR="00C4664F" w:rsidRPr="00990F95">
        <w:rPr>
          <w:rFonts w:ascii="標楷體" w:eastAsia="標楷體" w:hAnsi="標楷體" w:hint="eastAsia"/>
          <w:color w:val="000000"/>
          <w:sz w:val="28"/>
        </w:rPr>
        <w:t>，以甲方所在地之雲林地方法院為第一審管轄法院。</w:t>
      </w:r>
    </w:p>
    <w:p w14:paraId="2FE6D4F5" w14:textId="77777777" w:rsidR="007C2EFC" w:rsidRPr="00990F95" w:rsidRDefault="007F20BA" w:rsidP="00DD78A0">
      <w:pPr>
        <w:snapToGrid w:val="0"/>
        <w:spacing w:line="500" w:lineRule="exact"/>
        <w:ind w:left="1411" w:hangingChars="504" w:hanging="1411"/>
        <w:jc w:val="both"/>
        <w:rPr>
          <w:rFonts w:ascii="標楷體" w:eastAsia="標楷體" w:hAnsi="標楷體"/>
          <w:color w:val="000000"/>
          <w:sz w:val="28"/>
        </w:rPr>
      </w:pPr>
      <w:r w:rsidRPr="00990F95">
        <w:rPr>
          <w:rFonts w:ascii="標楷體" w:eastAsia="標楷體" w:hAnsi="標楷體" w:hint="eastAsia"/>
          <w:color w:val="000000"/>
          <w:sz w:val="28"/>
        </w:rPr>
        <w:t>第</w:t>
      </w:r>
      <w:r w:rsidR="0072211B" w:rsidRPr="00990F95">
        <w:rPr>
          <w:rFonts w:ascii="標楷體" w:eastAsia="標楷體" w:hAnsi="標楷體" w:hint="eastAsia"/>
          <w:color w:val="000000"/>
          <w:sz w:val="28"/>
        </w:rPr>
        <w:t>十</w:t>
      </w:r>
      <w:r w:rsidR="006143DB" w:rsidRPr="00990F95">
        <w:rPr>
          <w:rFonts w:ascii="標楷體" w:eastAsia="標楷體" w:hAnsi="標楷體" w:hint="eastAsia"/>
          <w:color w:val="000000"/>
          <w:sz w:val="28"/>
        </w:rPr>
        <w:t>九</w:t>
      </w:r>
      <w:r w:rsidRPr="00990F95">
        <w:rPr>
          <w:rFonts w:ascii="標楷體" w:eastAsia="標楷體" w:hAnsi="標楷體" w:hint="eastAsia"/>
          <w:color w:val="000000"/>
          <w:sz w:val="28"/>
        </w:rPr>
        <w:t>條</w:t>
      </w:r>
      <w:r w:rsidR="006C2FD3" w:rsidRPr="00990F95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C4664F" w:rsidRPr="00990F95">
        <w:rPr>
          <w:rFonts w:ascii="標楷體" w:eastAsia="標楷體" w:hAnsi="標楷體" w:hint="eastAsia"/>
          <w:color w:val="000000"/>
          <w:sz w:val="28"/>
        </w:rPr>
        <w:t>本</w:t>
      </w:r>
      <w:r w:rsidR="009F3BD2" w:rsidRPr="00990F9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C4664F" w:rsidRPr="00990F95">
        <w:rPr>
          <w:rFonts w:ascii="標楷體" w:eastAsia="標楷體" w:hAnsi="標楷體" w:hint="eastAsia"/>
          <w:color w:val="000000"/>
          <w:sz w:val="28"/>
        </w:rPr>
        <w:t>書正本一式2份，甲乙雙方各執1份為憑</w:t>
      </w:r>
      <w:r w:rsidR="00D24588" w:rsidRPr="00990F95">
        <w:rPr>
          <w:rFonts w:ascii="標楷體" w:eastAsia="標楷體" w:hAnsi="標楷體" w:hint="eastAsia"/>
          <w:color w:val="000000"/>
          <w:sz w:val="28"/>
        </w:rPr>
        <w:t>，另副本</w:t>
      </w:r>
      <w:r w:rsidR="00D24588" w:rsidRPr="00990F95">
        <w:rPr>
          <w:rFonts w:ascii="標楷體" w:eastAsia="標楷體" w:hAnsi="標楷體"/>
          <w:color w:val="000000"/>
          <w:sz w:val="28"/>
        </w:rPr>
        <w:t>2</w:t>
      </w:r>
      <w:r w:rsidR="00D24588" w:rsidRPr="00990F95">
        <w:rPr>
          <w:rFonts w:ascii="標楷體" w:eastAsia="標楷體" w:hAnsi="標楷體" w:hint="eastAsia"/>
          <w:color w:val="000000"/>
          <w:sz w:val="28"/>
        </w:rPr>
        <w:t>份，由甲方備存。</w:t>
      </w:r>
    </w:p>
    <w:p w14:paraId="4584785F" w14:textId="77777777" w:rsidR="0009271F" w:rsidRPr="00990F95" w:rsidRDefault="0009271F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060AA54A" w14:textId="77777777" w:rsidR="00D24588" w:rsidRPr="00990F95" w:rsidRDefault="00D24588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6173B404" w14:textId="77777777" w:rsidR="00D24588" w:rsidRPr="00990F95" w:rsidRDefault="00D24588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2ECDD6C5" w14:textId="77777777" w:rsidR="00D24588" w:rsidRPr="00990F95" w:rsidRDefault="00D24588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29B50AD3" w14:textId="77777777" w:rsidR="00D24588" w:rsidRPr="00990F95" w:rsidRDefault="00D24588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216D1087" w14:textId="77777777" w:rsidR="00D24588" w:rsidRPr="00990F95" w:rsidRDefault="00D24588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701FD6A5" w14:textId="77777777" w:rsidR="00D24588" w:rsidRPr="00990F95" w:rsidRDefault="00D24588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107A5C59" w14:textId="77777777" w:rsidR="00AC4488" w:rsidRPr="00990F95" w:rsidRDefault="00AC4488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41358518" w14:textId="77777777" w:rsidR="00AC4488" w:rsidRPr="00990F95" w:rsidRDefault="00AC4488" w:rsidP="00A075E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</w:p>
    <w:p w14:paraId="3D3FBD7D" w14:textId="77777777" w:rsidR="000C6837" w:rsidRPr="00990F95" w:rsidRDefault="000C6837" w:rsidP="00D24588">
      <w:pPr>
        <w:spacing w:line="0" w:lineRule="atLeast"/>
        <w:jc w:val="both"/>
        <w:rPr>
          <w:rFonts w:ascii="標楷體" w:eastAsia="標楷體" w:hAnsi="標楷體"/>
          <w:sz w:val="36"/>
          <w:szCs w:val="32"/>
        </w:rPr>
      </w:pPr>
    </w:p>
    <w:p w14:paraId="51554119" w14:textId="77777777" w:rsidR="00A075E1" w:rsidRPr="00990F95" w:rsidRDefault="00A075E1" w:rsidP="00D24588">
      <w:pPr>
        <w:spacing w:line="0" w:lineRule="atLeast"/>
        <w:jc w:val="both"/>
        <w:rPr>
          <w:rFonts w:ascii="標楷體" w:eastAsia="標楷體" w:hAnsi="標楷體"/>
          <w:sz w:val="36"/>
          <w:szCs w:val="32"/>
        </w:rPr>
      </w:pPr>
      <w:r w:rsidRPr="00990F95">
        <w:rPr>
          <w:rFonts w:ascii="標楷體" w:eastAsia="標楷體" w:hAnsi="標楷體" w:hint="eastAsia"/>
          <w:sz w:val="36"/>
          <w:szCs w:val="32"/>
        </w:rPr>
        <w:t>立</w:t>
      </w:r>
      <w:r w:rsidR="009F3BD2" w:rsidRPr="00990F95">
        <w:rPr>
          <w:rFonts w:ascii="標楷體" w:eastAsia="標楷體" w:hAnsi="標楷體" w:hint="eastAsia"/>
          <w:color w:val="000000"/>
          <w:sz w:val="36"/>
          <w:szCs w:val="32"/>
        </w:rPr>
        <w:t>契約</w:t>
      </w:r>
      <w:r w:rsidRPr="00990F95">
        <w:rPr>
          <w:rFonts w:ascii="標楷體" w:eastAsia="標楷體" w:hAnsi="標楷體" w:hint="eastAsia"/>
          <w:sz w:val="36"/>
          <w:szCs w:val="32"/>
        </w:rPr>
        <w:t>書人</w:t>
      </w:r>
    </w:p>
    <w:p w14:paraId="4EAF2A02" w14:textId="77777777" w:rsidR="00D24588" w:rsidRPr="00990F95" w:rsidRDefault="00D24588" w:rsidP="00D24588">
      <w:pPr>
        <w:spacing w:line="0" w:lineRule="atLeast"/>
        <w:jc w:val="both"/>
        <w:rPr>
          <w:rFonts w:ascii="標楷體" w:eastAsia="標楷體" w:hAnsi="標楷體"/>
          <w:sz w:val="36"/>
          <w:szCs w:val="32"/>
        </w:rPr>
      </w:pPr>
    </w:p>
    <w:p w14:paraId="30EB64F8" w14:textId="77777777" w:rsidR="00D24588" w:rsidRPr="00990F95" w:rsidRDefault="00D24588" w:rsidP="00D24588">
      <w:pPr>
        <w:spacing w:line="0" w:lineRule="atLeast"/>
        <w:jc w:val="both"/>
        <w:rPr>
          <w:rFonts w:ascii="標楷體" w:eastAsia="標楷體" w:hAnsi="標楷體" w:hint="eastAsia"/>
          <w:sz w:val="36"/>
          <w:szCs w:val="32"/>
        </w:rPr>
      </w:pPr>
    </w:p>
    <w:p w14:paraId="518D5A8E" w14:textId="77777777" w:rsidR="00D24588" w:rsidRPr="00990F95" w:rsidRDefault="00A075E1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>甲      方：衛生福利部雲林教養院</w:t>
      </w:r>
    </w:p>
    <w:p w14:paraId="36D7D8F8" w14:textId="77777777" w:rsidR="00A075E1" w:rsidRPr="00990F95" w:rsidRDefault="00A075E1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 xml:space="preserve">法定代理人：院長 </w:t>
      </w:r>
      <w:r w:rsidR="00DC6B27" w:rsidRPr="00990F95">
        <w:rPr>
          <w:rFonts w:ascii="標楷體" w:eastAsia="標楷體" w:hAnsi="標楷體" w:hint="eastAsia"/>
          <w:color w:val="000000"/>
          <w:sz w:val="32"/>
          <w:szCs w:val="32"/>
        </w:rPr>
        <w:t>劉淑喜</w:t>
      </w:r>
    </w:p>
    <w:p w14:paraId="11AB84B4" w14:textId="77777777" w:rsidR="00A075E1" w:rsidRPr="00990F95" w:rsidRDefault="00A075E1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>地      址：雲林縣斗南鎮東仁里忠孝路157號</w:t>
      </w:r>
    </w:p>
    <w:p w14:paraId="7C0EA25D" w14:textId="77777777" w:rsidR="00A075E1" w:rsidRPr="00990F95" w:rsidRDefault="00A075E1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>電      話：</w:t>
      </w:r>
      <w:r w:rsidR="00A0056D" w:rsidRPr="00990F95">
        <w:rPr>
          <w:rFonts w:ascii="標楷體" w:eastAsia="標楷體" w:hAnsi="標楷體" w:hint="eastAsia"/>
          <w:color w:val="000000"/>
          <w:sz w:val="32"/>
          <w:szCs w:val="32"/>
        </w:rPr>
        <w:t>(05)595</w:t>
      </w: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>4359</w:t>
      </w:r>
    </w:p>
    <w:p w14:paraId="5877B3BC" w14:textId="77777777" w:rsidR="00D24588" w:rsidRPr="00990F95" w:rsidRDefault="00D24588" w:rsidP="00D24588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color w:val="000000"/>
          <w:sz w:val="28"/>
        </w:rPr>
      </w:pPr>
    </w:p>
    <w:p w14:paraId="03370725" w14:textId="77777777" w:rsidR="00D24588" w:rsidRPr="00990F95" w:rsidRDefault="00D24588" w:rsidP="00D24588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color w:val="000000"/>
          <w:sz w:val="28"/>
        </w:rPr>
      </w:pPr>
    </w:p>
    <w:p w14:paraId="7119D3BB" w14:textId="77777777" w:rsidR="00D24588" w:rsidRPr="00990F95" w:rsidRDefault="00D24588" w:rsidP="00D24588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color w:val="000000"/>
          <w:sz w:val="28"/>
        </w:rPr>
      </w:pPr>
    </w:p>
    <w:p w14:paraId="06DC9D1B" w14:textId="77777777" w:rsidR="00D24588" w:rsidRPr="00990F95" w:rsidRDefault="00D24588" w:rsidP="00D24588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/>
          <w:color w:val="000000"/>
          <w:sz w:val="28"/>
        </w:rPr>
      </w:pPr>
    </w:p>
    <w:p w14:paraId="5883DC10" w14:textId="77777777" w:rsidR="00C77BCB" w:rsidRPr="00990F95" w:rsidRDefault="00A075E1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 xml:space="preserve">乙      </w:t>
      </w:r>
      <w:r w:rsidR="006E7751" w:rsidRPr="00990F95">
        <w:rPr>
          <w:rFonts w:ascii="標楷體" w:eastAsia="標楷體" w:hAnsi="標楷體" w:hint="eastAsia"/>
          <w:color w:val="000000"/>
          <w:sz w:val="32"/>
          <w:szCs w:val="32"/>
        </w:rPr>
        <w:t>方：</w:t>
      </w:r>
    </w:p>
    <w:p w14:paraId="559E480C" w14:textId="77777777" w:rsidR="00A075E1" w:rsidRPr="00990F95" w:rsidRDefault="00A075E1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>法定代理</w:t>
      </w:r>
      <w:r w:rsidR="006E7751" w:rsidRPr="00990F95">
        <w:rPr>
          <w:rFonts w:ascii="標楷體" w:eastAsia="標楷體" w:hAnsi="標楷體" w:hint="eastAsia"/>
          <w:color w:val="000000"/>
          <w:sz w:val="32"/>
          <w:szCs w:val="32"/>
        </w:rPr>
        <w:t>人：</w:t>
      </w:r>
      <w:r w:rsidR="00364F6B" w:rsidRPr="00990F9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14:paraId="343EE654" w14:textId="77777777" w:rsidR="00A075E1" w:rsidRPr="00990F95" w:rsidRDefault="00A075E1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 xml:space="preserve">地      </w:t>
      </w:r>
      <w:r w:rsidR="006E7751" w:rsidRPr="00990F95">
        <w:rPr>
          <w:rFonts w:ascii="標楷體" w:eastAsia="標楷體" w:hAnsi="標楷體" w:hint="eastAsia"/>
          <w:color w:val="000000"/>
          <w:sz w:val="32"/>
          <w:szCs w:val="32"/>
        </w:rPr>
        <w:t>址：</w:t>
      </w:r>
      <w:r w:rsidR="00364F6B" w:rsidRPr="00990F9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14:paraId="6C16E28E" w14:textId="77777777" w:rsidR="00D24588" w:rsidRPr="00990F95" w:rsidRDefault="00A075E1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90F95">
        <w:rPr>
          <w:rFonts w:ascii="標楷體" w:eastAsia="標楷體" w:hAnsi="標楷體" w:hint="eastAsia"/>
          <w:color w:val="000000"/>
          <w:sz w:val="32"/>
          <w:szCs w:val="32"/>
        </w:rPr>
        <w:t>電      話：</w:t>
      </w:r>
      <w:r w:rsidR="00364F6B" w:rsidRPr="00990F9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14:paraId="44FE4AB6" w14:textId="77777777" w:rsidR="00D24588" w:rsidRPr="00990F95" w:rsidRDefault="00D24588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6A84FBF6" w14:textId="77777777" w:rsidR="00D24588" w:rsidRPr="00990F95" w:rsidRDefault="00D24588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0AC2F006" w14:textId="77777777" w:rsidR="00D24588" w:rsidRPr="00990F95" w:rsidRDefault="00D24588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737EDFFB" w14:textId="77777777" w:rsidR="00D24588" w:rsidRPr="00990F95" w:rsidRDefault="00D24588" w:rsidP="00D24588">
      <w:pPr>
        <w:snapToGrid w:val="0"/>
        <w:spacing w:line="500" w:lineRule="exact"/>
        <w:ind w:left="1293" w:hangingChars="404" w:hanging="1293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</w:p>
    <w:p w14:paraId="65639D29" w14:textId="77777777" w:rsidR="00A075E1" w:rsidRPr="00990F95" w:rsidRDefault="007F20BA" w:rsidP="00D24588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990F95">
        <w:rPr>
          <w:rFonts w:ascii="標楷體" w:eastAsia="標楷體" w:hAnsi="標楷體" w:hint="eastAsia"/>
          <w:sz w:val="36"/>
          <w:szCs w:val="36"/>
        </w:rPr>
        <w:t>中</w:t>
      </w:r>
      <w:r w:rsidRPr="00990F95">
        <w:rPr>
          <w:rFonts w:ascii="標楷體" w:eastAsia="標楷體" w:hAnsi="標楷體"/>
          <w:sz w:val="36"/>
          <w:szCs w:val="36"/>
        </w:rPr>
        <w:t xml:space="preserve"> </w:t>
      </w:r>
      <w:r w:rsidRPr="00990F95">
        <w:rPr>
          <w:rFonts w:ascii="標楷體" w:eastAsia="標楷體" w:hAnsi="標楷體" w:hint="eastAsia"/>
          <w:sz w:val="36"/>
          <w:szCs w:val="36"/>
        </w:rPr>
        <w:t xml:space="preserve">  華</w:t>
      </w:r>
      <w:r w:rsidRPr="00990F95">
        <w:rPr>
          <w:rFonts w:ascii="標楷體" w:eastAsia="標楷體" w:hAnsi="標楷體"/>
          <w:sz w:val="36"/>
          <w:szCs w:val="36"/>
        </w:rPr>
        <w:t xml:space="preserve"> </w:t>
      </w:r>
      <w:r w:rsidRPr="00990F95">
        <w:rPr>
          <w:rFonts w:ascii="標楷體" w:eastAsia="標楷體" w:hAnsi="標楷體" w:hint="eastAsia"/>
          <w:sz w:val="36"/>
          <w:szCs w:val="36"/>
        </w:rPr>
        <w:t xml:space="preserve">  民</w:t>
      </w:r>
      <w:r w:rsidRPr="00990F95">
        <w:rPr>
          <w:rFonts w:ascii="標楷體" w:eastAsia="標楷體" w:hAnsi="標楷體"/>
          <w:sz w:val="36"/>
          <w:szCs w:val="36"/>
        </w:rPr>
        <w:t xml:space="preserve"> </w:t>
      </w:r>
      <w:r w:rsidRPr="00990F95">
        <w:rPr>
          <w:rFonts w:ascii="標楷體" w:eastAsia="標楷體" w:hAnsi="標楷體" w:hint="eastAsia"/>
          <w:sz w:val="36"/>
          <w:szCs w:val="36"/>
        </w:rPr>
        <w:t xml:space="preserve">  國</w:t>
      </w:r>
      <w:r w:rsidR="00D24588" w:rsidRPr="00990F9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990F95">
        <w:rPr>
          <w:rFonts w:ascii="標楷體" w:eastAsia="標楷體" w:hAnsi="標楷體" w:hint="eastAsia"/>
          <w:sz w:val="36"/>
          <w:szCs w:val="36"/>
        </w:rPr>
        <w:t xml:space="preserve"> </w:t>
      </w:r>
      <w:r w:rsidR="00364F6B" w:rsidRPr="00990F95">
        <w:rPr>
          <w:rFonts w:ascii="標楷體" w:eastAsia="標楷體" w:hAnsi="標楷體" w:hint="eastAsia"/>
          <w:sz w:val="36"/>
          <w:szCs w:val="36"/>
        </w:rPr>
        <w:t xml:space="preserve">   </w:t>
      </w:r>
      <w:r w:rsidR="00D24588" w:rsidRPr="00990F95">
        <w:rPr>
          <w:rFonts w:ascii="標楷體" w:eastAsia="標楷體" w:hAnsi="標楷體" w:hint="eastAsia"/>
          <w:sz w:val="36"/>
          <w:szCs w:val="36"/>
        </w:rPr>
        <w:t xml:space="preserve"> </w:t>
      </w:r>
      <w:r w:rsidRPr="00990F95">
        <w:rPr>
          <w:rFonts w:ascii="標楷體" w:eastAsia="標楷體" w:hAnsi="標楷體" w:hint="eastAsia"/>
          <w:sz w:val="36"/>
          <w:szCs w:val="36"/>
        </w:rPr>
        <w:t xml:space="preserve"> 年</w:t>
      </w:r>
      <w:r w:rsidR="00D24588" w:rsidRPr="00990F95">
        <w:rPr>
          <w:rFonts w:ascii="標楷體" w:eastAsia="標楷體" w:hAnsi="標楷體" w:hint="eastAsia"/>
          <w:sz w:val="36"/>
          <w:szCs w:val="36"/>
        </w:rPr>
        <w:t xml:space="preserve">   </w:t>
      </w:r>
      <w:r w:rsidR="00364F6B" w:rsidRPr="00990F95">
        <w:rPr>
          <w:rFonts w:ascii="標楷體" w:eastAsia="標楷體" w:hAnsi="標楷體" w:hint="eastAsia"/>
          <w:sz w:val="36"/>
          <w:szCs w:val="36"/>
        </w:rPr>
        <w:t xml:space="preserve">  </w:t>
      </w:r>
      <w:r w:rsidR="00D24588" w:rsidRPr="00990F95">
        <w:rPr>
          <w:rFonts w:ascii="標楷體" w:eastAsia="標楷體" w:hAnsi="標楷體" w:hint="eastAsia"/>
          <w:sz w:val="36"/>
          <w:szCs w:val="36"/>
        </w:rPr>
        <w:t xml:space="preserve">  </w:t>
      </w:r>
      <w:r w:rsidR="00A10B90" w:rsidRPr="00990F95">
        <w:rPr>
          <w:rFonts w:ascii="標楷體" w:eastAsia="標楷體" w:hAnsi="標楷體" w:hint="eastAsia"/>
          <w:sz w:val="36"/>
          <w:szCs w:val="36"/>
        </w:rPr>
        <w:t xml:space="preserve"> </w:t>
      </w:r>
      <w:r w:rsidRPr="00990F95">
        <w:rPr>
          <w:rFonts w:ascii="標楷體" w:eastAsia="標楷體" w:hAnsi="標楷體" w:hint="eastAsia"/>
          <w:sz w:val="36"/>
          <w:szCs w:val="36"/>
        </w:rPr>
        <w:t>月</w:t>
      </w:r>
      <w:r w:rsidR="00D24588" w:rsidRPr="00990F95">
        <w:rPr>
          <w:rFonts w:ascii="標楷體" w:eastAsia="標楷體" w:hAnsi="標楷體" w:hint="eastAsia"/>
          <w:sz w:val="36"/>
          <w:szCs w:val="36"/>
        </w:rPr>
        <w:t xml:space="preserve"> </w:t>
      </w:r>
      <w:r w:rsidR="00364F6B" w:rsidRPr="00990F95">
        <w:rPr>
          <w:rFonts w:ascii="標楷體" w:eastAsia="標楷體" w:hAnsi="標楷體" w:hint="eastAsia"/>
          <w:sz w:val="36"/>
          <w:szCs w:val="36"/>
        </w:rPr>
        <w:t xml:space="preserve"> </w:t>
      </w:r>
      <w:r w:rsidR="00A10B90" w:rsidRPr="00990F95">
        <w:rPr>
          <w:rFonts w:ascii="標楷體" w:eastAsia="標楷體" w:hAnsi="標楷體" w:hint="eastAsia"/>
          <w:sz w:val="36"/>
          <w:szCs w:val="36"/>
        </w:rPr>
        <w:t xml:space="preserve"> </w:t>
      </w:r>
      <w:r w:rsidR="00D24588" w:rsidRPr="00990F95">
        <w:rPr>
          <w:rFonts w:ascii="標楷體" w:eastAsia="標楷體" w:hAnsi="標楷體" w:hint="eastAsia"/>
          <w:sz w:val="36"/>
          <w:szCs w:val="36"/>
        </w:rPr>
        <w:t xml:space="preserve"> </w:t>
      </w:r>
      <w:r w:rsidR="00364F6B" w:rsidRPr="00990F95">
        <w:rPr>
          <w:rFonts w:ascii="標楷體" w:eastAsia="標楷體" w:hAnsi="標楷體" w:hint="eastAsia"/>
          <w:sz w:val="36"/>
          <w:szCs w:val="36"/>
        </w:rPr>
        <w:t xml:space="preserve"> </w:t>
      </w:r>
      <w:r w:rsidR="00D24588" w:rsidRPr="00990F9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990F95">
        <w:rPr>
          <w:rFonts w:ascii="標楷體" w:eastAsia="標楷體" w:hAnsi="標楷體" w:hint="eastAsia"/>
          <w:sz w:val="36"/>
          <w:szCs w:val="36"/>
        </w:rPr>
        <w:t xml:space="preserve"> 日</w:t>
      </w:r>
    </w:p>
    <w:p w14:paraId="39912D33" w14:textId="77777777" w:rsidR="00EB5206" w:rsidRPr="00990F95" w:rsidRDefault="00EB5206" w:rsidP="00D24588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14:paraId="117FC84F" w14:textId="77777777" w:rsidR="00EB5206" w:rsidRPr="00990F95" w:rsidRDefault="00EB5206" w:rsidP="00D24588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14:paraId="6E343CD0" w14:textId="77777777" w:rsidR="00EB5206" w:rsidRPr="00990F95" w:rsidRDefault="00EB5206" w:rsidP="00D24588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14:paraId="650DE7A7" w14:textId="77777777" w:rsidR="00EB5206" w:rsidRPr="00990F95" w:rsidRDefault="00EB5206" w:rsidP="00D24588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14:paraId="617CE7AE" w14:textId="77777777" w:rsidR="00EB5206" w:rsidRPr="00990F95" w:rsidRDefault="00EB5206" w:rsidP="00D24588">
      <w:pPr>
        <w:spacing w:line="0" w:lineRule="atLeast"/>
        <w:jc w:val="both"/>
        <w:rPr>
          <w:rFonts w:ascii="標楷體" w:eastAsia="標楷體" w:hAnsi="標楷體" w:hint="eastAsia"/>
          <w:sz w:val="36"/>
          <w:szCs w:val="36"/>
        </w:rPr>
        <w:sectPr w:rsidR="00EB5206" w:rsidRPr="00990F95" w:rsidSect="0009271F">
          <w:footerReference w:type="even" r:id="rId8"/>
          <w:footerReference w:type="default" r:id="rId9"/>
          <w:pgSz w:w="11907" w:h="16840" w:code="9"/>
          <w:pgMar w:top="720" w:right="720" w:bottom="720" w:left="720" w:header="851" w:footer="992" w:gutter="0"/>
          <w:cols w:space="425"/>
          <w:docGrid w:linePitch="360"/>
        </w:sectPr>
      </w:pPr>
    </w:p>
    <w:p w14:paraId="0FD0DB46" w14:textId="77777777" w:rsidR="00EB5206" w:rsidRPr="00990F95" w:rsidRDefault="00EB5206" w:rsidP="00D24588">
      <w:pPr>
        <w:spacing w:line="0" w:lineRule="atLeast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90F9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</w:p>
    <w:p w14:paraId="5A78D6D5" w14:textId="2BF0030E" w:rsidR="00EB5206" w:rsidRPr="00990F95" w:rsidRDefault="00420411" w:rsidP="00D24588">
      <w:pPr>
        <w:spacing w:line="0" w:lineRule="atLeast"/>
        <w:jc w:val="both"/>
        <w:rPr>
          <w:rFonts w:ascii="標楷體" w:eastAsia="標楷體" w:hAnsi="標楷體" w:hint="eastAsia"/>
          <w:sz w:val="36"/>
          <w:szCs w:val="36"/>
        </w:rPr>
      </w:pPr>
      <w:r w:rsidRPr="00990F95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47CC1868" wp14:editId="2F6E0CDB">
            <wp:extent cx="6017895" cy="57626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206" w:rsidRPr="00990F95" w:rsidSect="00EB5206">
      <w:pgSz w:w="16840" w:h="11907" w:orient="landscape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17D1" w14:textId="77777777" w:rsidR="0063289B" w:rsidRDefault="0063289B">
      <w:r>
        <w:separator/>
      </w:r>
    </w:p>
  </w:endnote>
  <w:endnote w:type="continuationSeparator" w:id="0">
    <w:p w14:paraId="6F8B3C28" w14:textId="77777777" w:rsidR="0063289B" w:rsidRDefault="0063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DFC8" w14:textId="77777777" w:rsidR="0077378D" w:rsidRDefault="0077378D">
    <w:pPr>
      <w:pStyle w:val="a3"/>
      <w:framePr w:wrap="around" w:vAnchor="text" w:hAnchor="margin" w:xAlign="center" w:y="1"/>
      <w:textDirection w:val="btL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6ABB1F" w14:textId="77777777" w:rsidR="0077378D" w:rsidRDefault="0077378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5713" w14:textId="77777777" w:rsidR="0077378D" w:rsidRDefault="007737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4A1F">
      <w:rPr>
        <w:rStyle w:val="a4"/>
        <w:noProof/>
      </w:rPr>
      <w:t>6</w:t>
    </w:r>
    <w:r>
      <w:rPr>
        <w:rStyle w:val="a4"/>
      </w:rPr>
      <w:fldChar w:fldCharType="end"/>
    </w:r>
  </w:p>
  <w:p w14:paraId="69CD57B4" w14:textId="77777777" w:rsidR="0077378D" w:rsidRDefault="0077378D">
    <w:pPr>
      <w:pStyle w:val="a3"/>
      <w:ind w:right="360"/>
      <w:rPr>
        <w:rFonts w:ascii="標楷體" w:eastAsia="標楷體" w:hAnsi="標楷體" w:hint="eastAsia"/>
      </w:rPr>
    </w:pPr>
    <w:r>
      <w:rPr>
        <w:rFonts w:ascii="標楷體" w:eastAsia="標楷體" w:hAnsi="標楷體" w:hint="eastAsia"/>
        <w:kern w:val="0"/>
      </w:rPr>
      <w:t xml:space="preserve">                                                                                                   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6179" w14:textId="77777777" w:rsidR="0063289B" w:rsidRDefault="0063289B">
      <w:r>
        <w:separator/>
      </w:r>
    </w:p>
  </w:footnote>
  <w:footnote w:type="continuationSeparator" w:id="0">
    <w:p w14:paraId="21201933" w14:textId="77777777" w:rsidR="0063289B" w:rsidRDefault="0063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DAF"/>
    <w:multiLevelType w:val="hybridMultilevel"/>
    <w:tmpl w:val="8004A59E"/>
    <w:lvl w:ilvl="0" w:tplc="E2EE40BA">
      <w:start w:val="24"/>
      <w:numFmt w:val="decimal"/>
      <w:lvlText w:val="第%1條"/>
      <w:lvlJc w:val="left"/>
      <w:pPr>
        <w:tabs>
          <w:tab w:val="num" w:pos="1260"/>
        </w:tabs>
        <w:ind w:left="1260" w:hanging="12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2726C1"/>
    <w:multiLevelType w:val="hybridMultilevel"/>
    <w:tmpl w:val="297CD8CA"/>
    <w:lvl w:ilvl="0" w:tplc="CD780D3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B15B70"/>
    <w:multiLevelType w:val="hybridMultilevel"/>
    <w:tmpl w:val="08F61D3E"/>
    <w:lvl w:ilvl="0" w:tplc="5434E19C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EBE71C5"/>
    <w:multiLevelType w:val="hybridMultilevel"/>
    <w:tmpl w:val="3A507E00"/>
    <w:lvl w:ilvl="0" w:tplc="C8AE5A8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E00D77"/>
    <w:multiLevelType w:val="hybridMultilevel"/>
    <w:tmpl w:val="DF32149C"/>
    <w:lvl w:ilvl="0" w:tplc="C0200E52">
      <w:start w:val="1"/>
      <w:numFmt w:val="taiwaneseCountingThousand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FE269768">
      <w:start w:val="1"/>
      <w:numFmt w:val="taiwaneseCountingThousand"/>
      <w:lvlText w:val="(%2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32092E3D"/>
    <w:multiLevelType w:val="hybridMultilevel"/>
    <w:tmpl w:val="7966CE24"/>
    <w:lvl w:ilvl="0" w:tplc="515A6E76">
      <w:start w:val="1"/>
      <w:numFmt w:val="taiwaneseCountingThousand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F7073E5"/>
    <w:multiLevelType w:val="hybridMultilevel"/>
    <w:tmpl w:val="BB60E156"/>
    <w:lvl w:ilvl="0" w:tplc="3650E736">
      <w:start w:val="3"/>
      <w:numFmt w:val="decimal"/>
      <w:lvlText w:val="第%1條"/>
      <w:lvlJc w:val="left"/>
      <w:pPr>
        <w:tabs>
          <w:tab w:val="num" w:pos="1275"/>
        </w:tabs>
        <w:ind w:left="1275" w:hanging="1275"/>
      </w:pPr>
      <w:rPr>
        <w:rFonts w:ascii="細明體"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D5F6AC1"/>
    <w:multiLevelType w:val="hybridMultilevel"/>
    <w:tmpl w:val="A160487A"/>
    <w:lvl w:ilvl="0" w:tplc="754E99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 w:tplc="F434072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1413B46"/>
    <w:multiLevelType w:val="hybridMultilevel"/>
    <w:tmpl w:val="736C8BFE"/>
    <w:lvl w:ilvl="0" w:tplc="6D5E1B3C">
      <w:start w:val="1"/>
      <w:numFmt w:val="decimal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01231F6">
      <w:start w:val="1"/>
      <w:numFmt w:val="decimal"/>
      <w:lvlText w:val="（%3）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 w16cid:durableId="625047789">
    <w:abstractNumId w:val="1"/>
  </w:num>
  <w:num w:numId="2" w16cid:durableId="1769503534">
    <w:abstractNumId w:val="6"/>
  </w:num>
  <w:num w:numId="3" w16cid:durableId="1899702294">
    <w:abstractNumId w:val="0"/>
  </w:num>
  <w:num w:numId="4" w16cid:durableId="117578407">
    <w:abstractNumId w:val="4"/>
  </w:num>
  <w:num w:numId="5" w16cid:durableId="869802098">
    <w:abstractNumId w:val="3"/>
  </w:num>
  <w:num w:numId="6" w16cid:durableId="1569413313">
    <w:abstractNumId w:val="5"/>
  </w:num>
  <w:num w:numId="7" w16cid:durableId="649753556">
    <w:abstractNumId w:val="2"/>
  </w:num>
  <w:num w:numId="8" w16cid:durableId="1323586547">
    <w:abstractNumId w:val="7"/>
  </w:num>
  <w:num w:numId="9" w16cid:durableId="1752851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BA"/>
    <w:rsid w:val="00026E76"/>
    <w:rsid w:val="00052A8B"/>
    <w:rsid w:val="00052F26"/>
    <w:rsid w:val="000645E8"/>
    <w:rsid w:val="00070F52"/>
    <w:rsid w:val="0008449D"/>
    <w:rsid w:val="0009271F"/>
    <w:rsid w:val="000A5A01"/>
    <w:rsid w:val="000A6CA9"/>
    <w:rsid w:val="000A7E28"/>
    <w:rsid w:val="000C6734"/>
    <w:rsid w:val="000C6837"/>
    <w:rsid w:val="000F4454"/>
    <w:rsid w:val="000F4939"/>
    <w:rsid w:val="00111C35"/>
    <w:rsid w:val="00112CB9"/>
    <w:rsid w:val="00116812"/>
    <w:rsid w:val="001200AA"/>
    <w:rsid w:val="001270B0"/>
    <w:rsid w:val="00144665"/>
    <w:rsid w:val="00155D57"/>
    <w:rsid w:val="001635FD"/>
    <w:rsid w:val="00184D22"/>
    <w:rsid w:val="00187A81"/>
    <w:rsid w:val="001927E6"/>
    <w:rsid w:val="001A33EC"/>
    <w:rsid w:val="001A6A07"/>
    <w:rsid w:val="001D6FDE"/>
    <w:rsid w:val="002016E5"/>
    <w:rsid w:val="00206F47"/>
    <w:rsid w:val="002145BA"/>
    <w:rsid w:val="00220238"/>
    <w:rsid w:val="00223E2B"/>
    <w:rsid w:val="00231C0A"/>
    <w:rsid w:val="00234F9E"/>
    <w:rsid w:val="0023650B"/>
    <w:rsid w:val="00237428"/>
    <w:rsid w:val="00242E36"/>
    <w:rsid w:val="0025483F"/>
    <w:rsid w:val="0027214E"/>
    <w:rsid w:val="00275DD2"/>
    <w:rsid w:val="00286FC1"/>
    <w:rsid w:val="00287C44"/>
    <w:rsid w:val="0029796D"/>
    <w:rsid w:val="002B688D"/>
    <w:rsid w:val="002B69C2"/>
    <w:rsid w:val="002C42FE"/>
    <w:rsid w:val="002E0D99"/>
    <w:rsid w:val="002F1D35"/>
    <w:rsid w:val="002F2A81"/>
    <w:rsid w:val="002F3FB4"/>
    <w:rsid w:val="00304552"/>
    <w:rsid w:val="00310407"/>
    <w:rsid w:val="00314D3F"/>
    <w:rsid w:val="003221EE"/>
    <w:rsid w:val="00325ACD"/>
    <w:rsid w:val="00347AE4"/>
    <w:rsid w:val="003607C9"/>
    <w:rsid w:val="00364F6B"/>
    <w:rsid w:val="00367BC3"/>
    <w:rsid w:val="00376065"/>
    <w:rsid w:val="00376B59"/>
    <w:rsid w:val="00382CE9"/>
    <w:rsid w:val="0039117E"/>
    <w:rsid w:val="00391FCF"/>
    <w:rsid w:val="003970D2"/>
    <w:rsid w:val="003A215A"/>
    <w:rsid w:val="003A6E77"/>
    <w:rsid w:val="003D29C3"/>
    <w:rsid w:val="003D2CC1"/>
    <w:rsid w:val="003D367F"/>
    <w:rsid w:val="003F4A1F"/>
    <w:rsid w:val="003F6ADC"/>
    <w:rsid w:val="00404060"/>
    <w:rsid w:val="00417AE1"/>
    <w:rsid w:val="00420411"/>
    <w:rsid w:val="0042219D"/>
    <w:rsid w:val="00432F07"/>
    <w:rsid w:val="00470FFD"/>
    <w:rsid w:val="00473B46"/>
    <w:rsid w:val="004C566D"/>
    <w:rsid w:val="004C5C31"/>
    <w:rsid w:val="004E0A4F"/>
    <w:rsid w:val="004F6AE2"/>
    <w:rsid w:val="0051119E"/>
    <w:rsid w:val="00517434"/>
    <w:rsid w:val="005470F0"/>
    <w:rsid w:val="005649A8"/>
    <w:rsid w:val="005855D1"/>
    <w:rsid w:val="005A0A6A"/>
    <w:rsid w:val="005B1F35"/>
    <w:rsid w:val="005B249A"/>
    <w:rsid w:val="005B7477"/>
    <w:rsid w:val="005D2B99"/>
    <w:rsid w:val="005E1943"/>
    <w:rsid w:val="005E52CC"/>
    <w:rsid w:val="00601767"/>
    <w:rsid w:val="00603B22"/>
    <w:rsid w:val="00603CC5"/>
    <w:rsid w:val="006143DB"/>
    <w:rsid w:val="0063289B"/>
    <w:rsid w:val="00665842"/>
    <w:rsid w:val="00666AAF"/>
    <w:rsid w:val="00671A0D"/>
    <w:rsid w:val="00674AAC"/>
    <w:rsid w:val="00684450"/>
    <w:rsid w:val="006844A9"/>
    <w:rsid w:val="00690DC9"/>
    <w:rsid w:val="0069178F"/>
    <w:rsid w:val="006A1252"/>
    <w:rsid w:val="006B0F8B"/>
    <w:rsid w:val="006B757F"/>
    <w:rsid w:val="006C2FD3"/>
    <w:rsid w:val="006C306F"/>
    <w:rsid w:val="006D423C"/>
    <w:rsid w:val="006E1F9B"/>
    <w:rsid w:val="006E7751"/>
    <w:rsid w:val="0070040B"/>
    <w:rsid w:val="0070544B"/>
    <w:rsid w:val="0072211B"/>
    <w:rsid w:val="0073311B"/>
    <w:rsid w:val="00744A1D"/>
    <w:rsid w:val="0074523F"/>
    <w:rsid w:val="007501E7"/>
    <w:rsid w:val="0076602D"/>
    <w:rsid w:val="0077378D"/>
    <w:rsid w:val="00775CE4"/>
    <w:rsid w:val="007A01DC"/>
    <w:rsid w:val="007A0CA6"/>
    <w:rsid w:val="007B0B1A"/>
    <w:rsid w:val="007B2444"/>
    <w:rsid w:val="007C2C33"/>
    <w:rsid w:val="007C2EFC"/>
    <w:rsid w:val="007C6EDA"/>
    <w:rsid w:val="007F20BA"/>
    <w:rsid w:val="007F4310"/>
    <w:rsid w:val="008008A3"/>
    <w:rsid w:val="0080167A"/>
    <w:rsid w:val="0083595F"/>
    <w:rsid w:val="0086368B"/>
    <w:rsid w:val="00863DB6"/>
    <w:rsid w:val="008A49BE"/>
    <w:rsid w:val="008B6564"/>
    <w:rsid w:val="008C0CC9"/>
    <w:rsid w:val="008C2BC5"/>
    <w:rsid w:val="008D1618"/>
    <w:rsid w:val="008E3942"/>
    <w:rsid w:val="008F7D6D"/>
    <w:rsid w:val="00905F3D"/>
    <w:rsid w:val="009144E9"/>
    <w:rsid w:val="00917644"/>
    <w:rsid w:val="00936CAE"/>
    <w:rsid w:val="00937E59"/>
    <w:rsid w:val="00952F21"/>
    <w:rsid w:val="00955B74"/>
    <w:rsid w:val="009562F7"/>
    <w:rsid w:val="00966577"/>
    <w:rsid w:val="00977429"/>
    <w:rsid w:val="009875C1"/>
    <w:rsid w:val="00990F95"/>
    <w:rsid w:val="00992695"/>
    <w:rsid w:val="00995F72"/>
    <w:rsid w:val="00996AF7"/>
    <w:rsid w:val="009A139F"/>
    <w:rsid w:val="009A3139"/>
    <w:rsid w:val="009D54FD"/>
    <w:rsid w:val="009E5707"/>
    <w:rsid w:val="009F1234"/>
    <w:rsid w:val="009F3BD2"/>
    <w:rsid w:val="00A0056D"/>
    <w:rsid w:val="00A02608"/>
    <w:rsid w:val="00A067E9"/>
    <w:rsid w:val="00A075E1"/>
    <w:rsid w:val="00A10B90"/>
    <w:rsid w:val="00A1192F"/>
    <w:rsid w:val="00A2378B"/>
    <w:rsid w:val="00A33792"/>
    <w:rsid w:val="00A610B7"/>
    <w:rsid w:val="00A6681B"/>
    <w:rsid w:val="00A7222C"/>
    <w:rsid w:val="00A74F8A"/>
    <w:rsid w:val="00A76A55"/>
    <w:rsid w:val="00AB0ACE"/>
    <w:rsid w:val="00AB1331"/>
    <w:rsid w:val="00AB7235"/>
    <w:rsid w:val="00AC3F8C"/>
    <w:rsid w:val="00AC4488"/>
    <w:rsid w:val="00AD240A"/>
    <w:rsid w:val="00B00EF9"/>
    <w:rsid w:val="00B144FC"/>
    <w:rsid w:val="00B160C8"/>
    <w:rsid w:val="00B2519D"/>
    <w:rsid w:val="00B365B7"/>
    <w:rsid w:val="00B433FB"/>
    <w:rsid w:val="00B46F97"/>
    <w:rsid w:val="00B607A4"/>
    <w:rsid w:val="00B6116E"/>
    <w:rsid w:val="00B66829"/>
    <w:rsid w:val="00B82C80"/>
    <w:rsid w:val="00B85EC6"/>
    <w:rsid w:val="00B8733B"/>
    <w:rsid w:val="00B93666"/>
    <w:rsid w:val="00BA0CB3"/>
    <w:rsid w:val="00BB5031"/>
    <w:rsid w:val="00BF1FCA"/>
    <w:rsid w:val="00C22F65"/>
    <w:rsid w:val="00C316D4"/>
    <w:rsid w:val="00C4364B"/>
    <w:rsid w:val="00C4664F"/>
    <w:rsid w:val="00C52B33"/>
    <w:rsid w:val="00C75C80"/>
    <w:rsid w:val="00C77BCB"/>
    <w:rsid w:val="00C961DD"/>
    <w:rsid w:val="00CA3D31"/>
    <w:rsid w:val="00CC33FD"/>
    <w:rsid w:val="00CC3D50"/>
    <w:rsid w:val="00CD546C"/>
    <w:rsid w:val="00CD5571"/>
    <w:rsid w:val="00CE2937"/>
    <w:rsid w:val="00CF29E7"/>
    <w:rsid w:val="00CF2D52"/>
    <w:rsid w:val="00CF3E03"/>
    <w:rsid w:val="00D010B4"/>
    <w:rsid w:val="00D12A45"/>
    <w:rsid w:val="00D13149"/>
    <w:rsid w:val="00D15CD1"/>
    <w:rsid w:val="00D24588"/>
    <w:rsid w:val="00D26656"/>
    <w:rsid w:val="00D32289"/>
    <w:rsid w:val="00D4207A"/>
    <w:rsid w:val="00D4573E"/>
    <w:rsid w:val="00D57191"/>
    <w:rsid w:val="00D63496"/>
    <w:rsid w:val="00D72521"/>
    <w:rsid w:val="00D734CA"/>
    <w:rsid w:val="00D739C6"/>
    <w:rsid w:val="00D9592B"/>
    <w:rsid w:val="00DA4191"/>
    <w:rsid w:val="00DC5E55"/>
    <w:rsid w:val="00DC6B27"/>
    <w:rsid w:val="00DC74D6"/>
    <w:rsid w:val="00DD4C15"/>
    <w:rsid w:val="00DD78A0"/>
    <w:rsid w:val="00DE27FC"/>
    <w:rsid w:val="00DE3E3C"/>
    <w:rsid w:val="00DE7537"/>
    <w:rsid w:val="00DE75EE"/>
    <w:rsid w:val="00DF0643"/>
    <w:rsid w:val="00DF0BE4"/>
    <w:rsid w:val="00DF5E77"/>
    <w:rsid w:val="00E0070F"/>
    <w:rsid w:val="00E021F5"/>
    <w:rsid w:val="00E13FAD"/>
    <w:rsid w:val="00E334DB"/>
    <w:rsid w:val="00E40A83"/>
    <w:rsid w:val="00E44C5A"/>
    <w:rsid w:val="00E57020"/>
    <w:rsid w:val="00E90743"/>
    <w:rsid w:val="00EB2CB4"/>
    <w:rsid w:val="00EB5206"/>
    <w:rsid w:val="00EC5362"/>
    <w:rsid w:val="00EE505C"/>
    <w:rsid w:val="00EF7FE2"/>
    <w:rsid w:val="00F11C23"/>
    <w:rsid w:val="00F37383"/>
    <w:rsid w:val="00F3745B"/>
    <w:rsid w:val="00F46F0A"/>
    <w:rsid w:val="00F516C6"/>
    <w:rsid w:val="00F646A3"/>
    <w:rsid w:val="00F77D3A"/>
    <w:rsid w:val="00F91D33"/>
    <w:rsid w:val="00FA11A7"/>
    <w:rsid w:val="00FA21D2"/>
    <w:rsid w:val="00FB1CEF"/>
    <w:rsid w:val="00FB2C67"/>
    <w:rsid w:val="00FE09F5"/>
    <w:rsid w:val="00FF0B5A"/>
    <w:rsid w:val="00FF2B03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81CF7"/>
  <w15:chartTrackingRefBased/>
  <w15:docId w15:val="{C4BB1CCE-1766-45DF-8E13-13ACF893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customStyle="1" w:styleId="a5">
    <w:name w:val="項一"/>
    <w:basedOn w:val="a"/>
    <w:pPr>
      <w:kinsoku w:val="0"/>
      <w:snapToGrid w:val="0"/>
      <w:spacing w:line="240" w:lineRule="atLeast"/>
      <w:ind w:left="2251" w:hanging="567"/>
      <w:textDirection w:val="lrTbV"/>
    </w:pPr>
    <w:rPr>
      <w:rFonts w:ascii="標楷體" w:eastAsia="標楷體" w:hAnsi="標楷體"/>
      <w:b/>
      <w:sz w:val="28"/>
      <w:szCs w:val="20"/>
      <w:u w:val="single"/>
    </w:rPr>
  </w:style>
  <w:style w:type="paragraph" w:customStyle="1" w:styleId="a6">
    <w:name w:val="條文"/>
    <w:basedOn w:val="a7"/>
    <w:pPr>
      <w:kinsoku w:val="0"/>
      <w:snapToGrid w:val="0"/>
      <w:spacing w:line="240" w:lineRule="atLeast"/>
      <w:ind w:left="1684" w:hanging="1684"/>
    </w:pPr>
    <w:rPr>
      <w:rFonts w:ascii="標楷體" w:eastAsia="標楷體" w:cs="Times New Roman"/>
      <w:sz w:val="28"/>
      <w:szCs w:val="20"/>
    </w:rPr>
  </w:style>
  <w:style w:type="paragraph" w:styleId="a7">
    <w:name w:val="Plain Text"/>
    <w:basedOn w:val="a"/>
    <w:link w:val="a8"/>
    <w:rPr>
      <w:rFonts w:ascii="細明體" w:eastAsia="細明體" w:hAnsi="Courier New" w:cs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b">
    <w:name w:val="第一條"/>
    <w:basedOn w:val="a"/>
    <w:autoRedefine/>
    <w:pPr>
      <w:spacing w:line="0" w:lineRule="atLeast"/>
      <w:ind w:leftChars="-1" w:left="1740" w:hangingChars="622" w:hanging="1742"/>
      <w:jc w:val="both"/>
      <w:textDirection w:val="lrTbV"/>
    </w:pPr>
    <w:rPr>
      <w:rFonts w:ascii="標楷體" w:eastAsia="標楷體" w:hAnsi="標楷體"/>
      <w:sz w:val="28"/>
      <w:szCs w:val="28"/>
    </w:rPr>
  </w:style>
  <w:style w:type="paragraph" w:styleId="ac">
    <w:name w:val="Body Text Indent"/>
    <w:basedOn w:val="a"/>
    <w:link w:val="ad"/>
    <w:rsid w:val="00A075E1"/>
    <w:pPr>
      <w:ind w:left="1440" w:hanging="360"/>
    </w:pPr>
    <w:rPr>
      <w:rFonts w:ascii="新細明體"/>
      <w:szCs w:val="20"/>
    </w:rPr>
  </w:style>
  <w:style w:type="character" w:customStyle="1" w:styleId="ad">
    <w:name w:val="本文縮排 字元"/>
    <w:link w:val="ac"/>
    <w:rsid w:val="00A075E1"/>
    <w:rPr>
      <w:rFonts w:ascii="新細明體"/>
      <w:kern w:val="2"/>
      <w:sz w:val="24"/>
    </w:rPr>
  </w:style>
  <w:style w:type="paragraph" w:styleId="ae">
    <w:name w:val="Body Text"/>
    <w:basedOn w:val="a"/>
    <w:link w:val="af"/>
    <w:rsid w:val="009D54FD"/>
    <w:pPr>
      <w:spacing w:after="120"/>
    </w:pPr>
  </w:style>
  <w:style w:type="character" w:customStyle="1" w:styleId="af">
    <w:name w:val="本文 字元"/>
    <w:link w:val="ae"/>
    <w:rsid w:val="009D54FD"/>
    <w:rPr>
      <w:kern w:val="2"/>
      <w:sz w:val="24"/>
      <w:szCs w:val="24"/>
    </w:rPr>
  </w:style>
  <w:style w:type="paragraph" w:customStyle="1" w:styleId="Default">
    <w:name w:val="Default"/>
    <w:rsid w:val="009D54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字元 字元1"/>
    <w:basedOn w:val="a"/>
    <w:rsid w:val="001270B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8">
    <w:name w:val="純文字 字元"/>
    <w:link w:val="a7"/>
    <w:rsid w:val="00AC3F8C"/>
    <w:rPr>
      <w:rFonts w:ascii="細明體" w:eastAsia="細明體" w:hAnsi="Courier New" w:cs="Courier New"/>
      <w:kern w:val="2"/>
      <w:sz w:val="24"/>
      <w:szCs w:val="24"/>
    </w:rPr>
  </w:style>
  <w:style w:type="paragraph" w:styleId="af0">
    <w:name w:val="Date"/>
    <w:basedOn w:val="a"/>
    <w:next w:val="a"/>
    <w:link w:val="af1"/>
    <w:rsid w:val="00EB5206"/>
    <w:pPr>
      <w:jc w:val="right"/>
    </w:pPr>
  </w:style>
  <w:style w:type="character" w:customStyle="1" w:styleId="af1">
    <w:name w:val="日期 字元"/>
    <w:link w:val="af0"/>
    <w:rsid w:val="00EB52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4A82-AF65-4613-BA0F-2C180C18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483</Words>
  <Characters>2754</Characters>
  <Application>Microsoft Office Word</Application>
  <DocSecurity>0</DocSecurity>
  <Lines>22</Lines>
  <Paragraphs>6</Paragraphs>
  <ScaleCrop>false</ScaleCrop>
  <Company>academia sinica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中央研究院飲料自動販賣機場地空間出租租賃契約</dc:title>
  <dc:subject/>
  <dc:creator>ascc</dc:creator>
  <cp:keywords/>
  <dc:description/>
  <cp:lastModifiedBy>行政財管 雲教</cp:lastModifiedBy>
  <cp:revision>2</cp:revision>
  <cp:lastPrinted>2022-12-26T04:24:00Z</cp:lastPrinted>
  <dcterms:created xsi:type="dcterms:W3CDTF">2025-10-31T05:35:00Z</dcterms:created>
  <dcterms:modified xsi:type="dcterms:W3CDTF">2025-10-31T05:35:00Z</dcterms:modified>
</cp:coreProperties>
</file>